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E343D74" Type="http://schemas.openxmlformats.org/officeDocument/2006/relationships/officeDocument" Target="/word/document.xml" /><Relationship Id="coreR7E343D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pPr w:leftFromText="141" w:rightFromText="141" w:tblpX="1" w:tblpY="-166" w:vertAnchor="text"/>
        <w:tblW w:w="1089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4A0"/>
      </w:tblPr>
      <w:tblGrid/>
      <w:tr>
        <w:trPr>
          <w:trHeight w:hRule="atLeast" w:val="1701"/>
        </w:trPr>
        <w:tc>
          <w:tcPr>
            <w:tcW w:w="3652"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3"/>
              <w:framePr w:w="0" w:h="0" w:hRule="auto" w:vSpace="0" w:hSpace="0" w:wrap="auto" w:vAnchor="margin" w:hAnchor="text" w:x="0" w:xAlign="left" w:y="0" w:yAlign="inline"/>
            </w:pPr>
          </w:p>
        </w:tc>
        <w:tc>
          <w:tcPr>
            <w:tcW w:w="7238"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12"/>
              <w:framePr w:w="0" w:h="0" w:hRule="auto" w:vSpace="0" w:hSpace="0" w:wrap="auto" w:vAnchor="margin" w:hAnchor="text" w:x="0" w:xAlign="left" w:y="0" w:yAlign="inline"/>
            </w:pPr>
          </w:p>
          <w:tbl>
            <w:tblPr>
              <w:tblStyle w:val="T2"/>
              <w:tblW w:w="0" w:type="auto"/>
              <w:tblInd w:w="2302" w:type="dxa"/>
              <w:tblBorders>
                <w:top w:val="nil" w:sz="0" w:space="0" w:shadow="0" w:frame="0" w:color="000000"/>
                <w:left w:val="nil" w:sz="0" w:space="0" w:shadow="0" w:frame="0" w:color="000000"/>
                <w:bottom w:val="nil" w:sz="0" w:space="0" w:shadow="0" w:frame="0" w:color="000000"/>
                <w:right w:val="nil" w:sz="0" w:space="0" w:shadow="0" w:frame="0" w:color="000000"/>
                <w:insideH w:val="nil" w:sz="0" w:space="0" w:shadow="0" w:frame="0" w:color="000000"/>
                <w:insideV w:val="nil" w:sz="0" w:space="0" w:shadow="0" w:frame="0" w:color="000000"/>
              </w:tblBorders>
              <w:tblLook w:val="04A0"/>
            </w:tblPr>
            <w:tblGrid/>
            <w:tr>
              <w:trPr>
                <w:gridAfter w:val="0"/>
              </w:trPr>
              <w:tc>
                <w:tcPr>
                  <w:tcW w:w="4665" w:type="dxa"/>
                  <w:gridSpan w:val="2"/>
                </w:tcPr>
                <w:p>
                  <w:pPr>
                    <w:pStyle w:val="P12"/>
                    <w:framePr w:w="0" w:h="0" w:hRule="auto" w:vSpace="0" w:hSpace="0" w:wrap="auto" w:vAnchor="margin" w:hAnchor="text" w:x="0" w:xAlign="left" w:y="0" w:yAlign="inline"/>
                    <w:tabs>
                      <w:tab w:val="clear" w:pos="1276" w:leader="none"/>
                      <w:tab w:val="left" w:pos="1665" w:leader="none"/>
                    </w:tabs>
                    <w:ind w:left="0"/>
                  </w:pPr>
                  <w:r>
                    <w:t>Upprättad:</w:t>
                  </w:r>
                  <w:r>
                    <w:rPr>
                      <w:lang w:val="sv-SE" w:bidi="sv-SE" w:eastAsia="sv-SE"/>
                    </w:rPr>
                    <w:t xml:space="preserve">       </w:t>
                  </w:r>
                  <w:r>
                    <w:t>2017-05-10</w:t>
                  </w:r>
                  <w:r>
                    <w:rPr>
                      <w:lang w:val="sv-SE" w:bidi="sv-SE" w:eastAsia="sv-SE"/>
                    </w:rPr>
                    <w:t xml:space="preserve"> </w:t>
                  </w:r>
                </w:p>
              </w:tc>
            </w:tr>
            <w:tr>
              <w:trPr>
                <w:gridAfter w:val="0"/>
              </w:trPr>
              <w:tc>
                <w:tcPr>
                  <w:tcW w:w="4665" w:type="dxa"/>
                  <w:gridSpan w:val="2"/>
                </w:tcPr>
                <w:p>
                  <w:pPr>
                    <w:pStyle w:val="P12"/>
                    <w:framePr w:w="0" w:h="0" w:hRule="auto" w:vSpace="0" w:hSpace="0" w:wrap="auto" w:vAnchor="margin" w:hAnchor="text" w:x="0" w:xAlign="left" w:y="0" w:yAlign="inline"/>
                    <w:ind w:left="0"/>
                  </w:pPr>
                  <w:r>
                    <w:t>Diarienummer:</w:t>
                  </w:r>
                  <w:bookmarkStart w:id="0" w:name="_GoBack"/>
                  <w:bookmarkEnd w:id="0"/>
                  <w:r>
                    <w:rPr>
                      <w:lang w:val="sv-SE" w:bidi="sv-SE" w:eastAsia="sv-SE"/>
                    </w:rPr>
                    <w:t xml:space="preserve"> MIL.2017.617 </w:t>
                  </w:r>
                </w:p>
                <w:p>
                  <w:pPr>
                    <w:pStyle w:val="P12"/>
                    <w:framePr w:w="0" w:h="0" w:hRule="auto" w:vSpace="0" w:hSpace="0" w:wrap="auto" w:vAnchor="margin" w:hAnchor="text" w:x="0" w:xAlign="left" w:y="0" w:yAlign="inline"/>
                    <w:ind w:left="0"/>
                  </w:pPr>
                </w:p>
                <w:p>
                  <w:pPr>
                    <w:pStyle w:val="P12"/>
                    <w:framePr w:w="0" w:h="0" w:hRule="auto" w:vSpace="0" w:hSpace="0" w:wrap="auto" w:vAnchor="margin" w:hAnchor="text" w:x="0" w:xAlign="left" w:y="0" w:yAlign="inline"/>
                    <w:ind w:left="0"/>
                  </w:pPr>
                </w:p>
              </w:tc>
            </w:tr>
            <w:tr>
              <w:trPr>
                <w:gridAfter w:val="0"/>
              </w:trPr>
              <w:tc>
                <w:tcPr>
                  <w:tcW w:w="1796" w:type="dxa"/>
                  <w:tcBorders>
                    <w:right w:val="single" w:sz="4" w:space="0" w:shadow="0" w:frame="0" w:color="000000"/>
                  </w:tcBorders>
                </w:tcPr>
                <w:p>
                  <w:pPr>
                    <w:pStyle w:val="P12"/>
                    <w:framePr w:w="0" w:h="0" w:hRule="auto" w:vSpace="0" w:hSpace="0" w:wrap="auto" w:vAnchor="margin" w:hAnchor="text" w:x="0" w:xAlign="left" w:y="0" w:yAlign="inline"/>
                    <w:ind w:left="0"/>
                  </w:pPr>
                </w:p>
              </w:tc>
              <w:tc>
                <w:tcPr>
                  <w:tcW w:w="2870" w:type="dxa"/>
                  <w:tcBorders>
                    <w:left w:val="single" w:sz="4" w:space="0" w:shadow="0" w:frame="0" w:color="000000"/>
                  </w:tcBorders>
                </w:tcPr>
                <w:p>
                  <w:pPr>
                    <w:pStyle w:val="P12"/>
                    <w:framePr w:w="0" w:h="0" w:hRule="auto" w:vSpace="0" w:hSpace="0" w:wrap="auto" w:vAnchor="margin" w:hAnchor="text" w:x="0" w:xAlign="left" w:y="0" w:yAlign="inline"/>
                    <w:ind w:left="0"/>
                    <w:rPr>
                      <w:lang w:val="sv-SE" w:bidi="sv-SE" w:eastAsia="sv-SE"/>
                    </w:rPr>
                  </w:pPr>
                  <w:r>
                    <w:rPr>
                      <w:lang w:val="sv-SE" w:bidi="sv-SE" w:eastAsia="sv-SE"/>
                    </w:rPr>
                    <w:t>Samhällsbyggnads-</w:t>
                  </w:r>
                </w:p>
                <w:p>
                  <w:pPr>
                    <w:pStyle w:val="P12"/>
                    <w:framePr w:w="0" w:h="0" w:hRule="auto" w:vSpace="0" w:hSpace="0" w:wrap="auto" w:vAnchor="margin" w:hAnchor="text" w:x="0" w:xAlign="left" w:y="0" w:yAlign="inline"/>
                    <w:ind w:left="0"/>
                  </w:pPr>
                  <w:r>
                    <w:t>n</w:t>
                  </w:r>
                  <w:r>
                    <w:rPr>
                      <w:lang w:val="sv-SE" w:bidi="sv-SE" w:eastAsia="sv-SE"/>
                    </w:rPr>
                    <w:t>ämnden</w:t>
                  </w:r>
                </w:p>
              </w:tc>
            </w:tr>
          </w:tbl>
          <w:p>
            <w:pPr>
              <w:pStyle w:val="P4"/>
              <w:framePr w:w="0" w:h="0" w:hRule="auto" w:vSpace="0" w:hSpace="0" w:wrap="auto" w:vAnchor="margin" w:hAnchor="text" w:x="0" w:xAlign="left" w:y="0" w:yAlign="inline"/>
              <w:ind w:firstLine="567"/>
              <w:outlineLvl w:val="3"/>
            </w:pPr>
          </w:p>
        </w:tc>
      </w:tr>
    </w:tbl>
    <w:p>
      <w:pPr>
        <w:pStyle w:val="P12"/>
        <w:framePr w:w="0" w:h="0" w:hRule="atLeast" w:wrap="around" w:vAnchor="margin" w:hAnchor="text" w:x="0" w:y="0"/>
      </w:pPr>
      <w:r>
        <w:tab/>
        <w:tab/>
        <w:tab/>
        <w:tab/>
      </w:r>
    </w:p>
    <w:p>
      <w:pPr>
        <w:pStyle w:val="P8"/>
        <w:keepNext w:val="0"/>
        <w:widowControl w:val="1"/>
        <w:shd w:val="clear" w:fill="auto"/>
        <w:tabs>
          <w:tab w:val="left" w:pos="7584" w:leader="none"/>
          <w:tab w:val="left" w:pos="7862" w:leader="none"/>
        </w:tabs>
        <w:spacing w:lineRule="auto" w:line="240" w:before="720" w:beforeAutospacing="0" w:afterAutospacing="0"/>
        <w:ind w:firstLine="0" w:left="2267"/>
      </w:pPr>
      <w:r>
        <w:t>Miljörapporter 2017</w:t>
      </w:r>
      <w:r>
        <w:rPr>
          <w:lang w:val="sv-SE" w:bidi="sv-SE" w:eastAsia="sv-SE"/>
        </w:rPr>
        <w:t>- tertialrapport 1</w:t>
      </w:r>
      <w:r>
        <w:tab/>
      </w:r>
    </w:p>
    <w:p>
      <w:pPr>
        <w:pStyle w:val="P2"/>
        <w:keepNext w:val="1"/>
        <w:widowControl w:val="1"/>
        <w:shd w:val="clear" w:fill="auto"/>
        <w:spacing w:lineRule="auto" w:line="240" w:before="120" w:beforeAutospacing="0" w:afterAutospacing="0"/>
        <w:ind w:firstLine="0"/>
      </w:pPr>
      <w:r>
        <w:t xml:space="preserve">Förslag till beslut i </w:t>
      </w:r>
      <w:r>
        <w:rPr>
          <w:lang w:val="sv-SE" w:bidi="sv-SE" w:eastAsia="sv-SE"/>
        </w:rPr>
        <w:t>samhällsbyggnadsnämnden</w:t>
      </w:r>
    </w:p>
    <w:p>
      <w:pPr>
        <w:pStyle w:val="P20"/>
        <w:ind w:firstLine="567" w:left="1701"/>
      </w:pPr>
      <w:r>
        <w:rPr>
          <w:lang w:val="sv-SE" w:bidi="sv-SE" w:eastAsia="sv-SE"/>
        </w:rPr>
        <w:t>1. Go</w:t>
      </w:r>
      <w:r>
        <w:t>dkänna tertialrapport 1 för miljöenheten 201</w:t>
      </w:r>
      <w:r>
        <w:rPr>
          <w:lang w:val="sv-SE" w:bidi="sv-SE" w:eastAsia="sv-SE"/>
        </w:rPr>
        <w:t>7</w:t>
      </w:r>
    </w:p>
    <w:p>
      <w:pPr>
        <w:pStyle w:val="P2"/>
      </w:pPr>
      <w:r>
        <w:t>Sammanfattning</w:t>
      </w:r>
    </w:p>
    <w:p>
      <w:pPr>
        <w:pStyle w:val="P20"/>
        <w:spacing w:after="60" w:beforeAutospacing="0" w:afterAutospacing="0"/>
        <w:ind w:left="2268"/>
      </w:pPr>
      <w:r>
        <w:rPr>
          <w:rStyle w:val="C11"/>
          <w:b w:val="0"/>
          <w:color w:val="000000"/>
          <w:lang w:val="sv-SE" w:bidi="sv-SE" w:eastAsia="sv-SE"/>
        </w:rPr>
        <w:t>Mi</w:t>
      </w:r>
      <w:r>
        <w:rPr>
          <w:rStyle w:val="C11"/>
          <w:b w:val="0"/>
          <w:color w:val="000000"/>
        </w:rPr>
        <w:t>ljöskydds-, hälsoskydds och livsmedelsprojekten del 1 har till och med april 201</w:t>
      </w:r>
      <w:r>
        <w:rPr>
          <w:rStyle w:val="C11"/>
          <w:b w:val="0"/>
          <w:color w:val="000000"/>
          <w:lang w:val="sv-SE" w:bidi="sv-SE" w:eastAsia="sv-SE"/>
        </w:rPr>
        <w:t>7</w:t>
      </w:r>
      <w:r>
        <w:rPr>
          <w:rStyle w:val="C11"/>
          <w:b w:val="0"/>
          <w:color w:val="000000"/>
        </w:rPr>
        <w:t xml:space="preserve"> omfattat 77 tillsynsbesök varav </w:t>
      </w:r>
      <w:r>
        <w:rPr>
          <w:rStyle w:val="C11"/>
          <w:b w:val="0"/>
          <w:color w:val="000000"/>
          <w:lang w:val="sv-SE" w:bidi="sv-SE" w:eastAsia="sv-SE"/>
        </w:rPr>
        <w:t>57</w:t>
      </w:r>
      <w:r>
        <w:rPr>
          <w:rStyle w:val="C11"/>
          <w:b w:val="0"/>
          <w:color w:val="000000"/>
        </w:rPr>
        <w:t xml:space="preserve"> har utförts.</w:t>
      </w:r>
      <w:r>
        <w:rPr>
          <w:rStyle w:val="C11"/>
          <w:color w:val="000000"/>
        </w:rPr>
        <w:t xml:space="preserve"> </w:t>
      </w:r>
      <w:r>
        <w:t xml:space="preserve">Av </w:t>
      </w:r>
      <w:r>
        <w:rPr>
          <w:lang w:val="sv-SE" w:bidi="sv-SE" w:eastAsia="sv-SE"/>
        </w:rPr>
        <w:t>57</w:t>
      </w:r>
      <w:r>
        <w:t xml:space="preserve"> besök har </w:t>
      </w:r>
      <w:r>
        <w:rPr>
          <w:lang w:val="sv-SE" w:bidi="sv-SE" w:eastAsia="sv-SE"/>
        </w:rPr>
        <w:t>15</w:t>
      </w:r>
      <w:r>
        <w:t xml:space="preserve"> genererat avvikelser. Antalet inkomna avloppsansökningar har under samma period varit 6</w:t>
      </w:r>
      <w:r>
        <w:rPr>
          <w:lang w:val="sv-SE" w:bidi="sv-SE" w:eastAsia="sv-SE"/>
        </w:rPr>
        <w:t>3</w:t>
      </w:r>
      <w:r>
        <w:t xml:space="preserve"> st mot beräknade ca 5</w:t>
      </w:r>
      <w:r>
        <w:rPr>
          <w:lang w:val="sv-SE" w:bidi="sv-SE" w:eastAsia="sv-SE"/>
        </w:rPr>
        <w:t>7</w:t>
      </w:r>
      <w:r>
        <w:t xml:space="preserve"> st.</w:t>
      </w:r>
      <w:r>
        <w:rPr>
          <w:lang w:val="sv-SE" w:bidi="sv-SE" w:eastAsia="sv-SE"/>
        </w:rPr>
        <w:t xml:space="preserve"> </w:t>
      </w:r>
      <w:r>
        <w:t>Uppföljning av de fastighetsägare som har angett att de ska ansöka självmant om ny avloppsanläggning har fortsatt under tertial 1.</w:t>
      </w:r>
    </w:p>
    <w:p>
      <w:pPr>
        <w:pStyle w:val="P2"/>
      </w:pPr>
      <w:r>
        <w:t>Ärendebeskrivning</w:t>
      </w:r>
    </w:p>
    <w:p>
      <w:pPr>
        <w:tabs>
          <w:tab w:val="right" w:pos="5387" w:leader="none"/>
          <w:tab w:val="right" w:pos="7371" w:leader="none"/>
        </w:tabs>
        <w:rPr>
          <w:rFonts w:ascii="Times New Roman" w:hAnsi="Times New Roman"/>
        </w:rPr>
      </w:pPr>
      <w:r>
        <w:t>Som ett led i arbetet med uppföljning ska miljöenheten varje år lämna tre rapporter under året till samhällsbyggnadsnämnden</w:t>
      </w:r>
      <w:r>
        <w:rPr>
          <w:lang w:val="sv-SE" w:bidi="sv-SE" w:eastAsia="sv-SE"/>
        </w:rPr>
        <w:t>.</w:t>
      </w:r>
    </w:p>
    <w:p>
      <w:pPr>
        <w:pStyle w:val="P3"/>
        <w:rPr>
          <w:b w:val="1"/>
        </w:rPr>
      </w:pPr>
      <w:r>
        <w:rPr>
          <w:b w:val="1"/>
        </w:rPr>
        <w:t>Projekt</w:t>
      </w:r>
    </w:p>
    <w:p>
      <w:pPr>
        <w:pStyle w:val="P3"/>
      </w:pPr>
      <w:r>
        <w:t>Hälsoskydd</w:t>
      </w:r>
    </w:p>
    <w:p>
      <w:r>
        <w:t>Hälsoskyddsprojektet del 1 har påbörjats som planerat. Del 1 omfattar 4</w:t>
      </w:r>
      <w:r>
        <w:rPr>
          <w:lang w:val="sv-SE" w:bidi="sv-SE" w:eastAsia="sv-SE"/>
        </w:rPr>
        <w:t>2</w:t>
      </w:r>
      <w:r>
        <w:t xml:space="preserve"> tillsynsobjekt och fram till och med april 2</w:t>
      </w:r>
      <w:r>
        <w:rPr>
          <w:lang w:val="sv-SE" w:bidi="sv-SE" w:eastAsia="sv-SE"/>
        </w:rPr>
        <w:t>8</w:t>
      </w:r>
      <w:r>
        <w:t xml:space="preserve"> tillsynsbesök. Tillsynen riktar främst in sig på områdena hygien, smittskydd</w:t>
      </w:r>
      <w:r>
        <w:rPr>
          <w:lang w:val="sv-SE" w:bidi="sv-SE" w:eastAsia="sv-SE"/>
        </w:rPr>
        <w:t xml:space="preserve">, </w:t>
      </w:r>
      <w:r>
        <w:t>städning</w:t>
      </w:r>
      <w:r>
        <w:rPr>
          <w:lang w:val="sv-SE" w:bidi="sv-SE" w:eastAsia="sv-SE"/>
        </w:rPr>
        <w:t>, pcb, radon och egenkontroll</w:t>
      </w:r>
      <w:r>
        <w:t>.</w:t>
      </w:r>
    </w:p>
    <w:p>
      <w:pPr>
        <w:pStyle w:val="P3"/>
      </w:pPr>
      <w:r>
        <w:t>Livsmedel</w:t>
      </w:r>
    </w:p>
    <w:p>
      <w:r>
        <w:t xml:space="preserve">Livsmedelsprojektet del 1 har påbörjats som planerat. Del 1 omfattar </w:t>
      </w:r>
      <w:r>
        <w:rPr>
          <w:lang w:val="sv-SE" w:bidi="sv-SE" w:eastAsia="sv-SE"/>
        </w:rPr>
        <w:t>50 kontrollobjekt och</w:t>
      </w:r>
      <w:r>
        <w:t xml:space="preserve"> på främst restauranger, caféer och skolkök </w:t>
      </w:r>
      <w:r>
        <w:rPr>
          <w:lang w:val="sv-SE" w:bidi="sv-SE" w:eastAsia="sv-SE"/>
        </w:rPr>
        <w:t>med inriktning på grundförutsättningar och allergeninformation.</w:t>
      </w:r>
      <w:r>
        <w:t xml:space="preserve"> Projektet omfattar fram till och med april </w:t>
      </w:r>
      <w:r>
        <w:rPr>
          <w:lang w:val="sv-SE" w:bidi="sv-SE" w:eastAsia="sv-SE"/>
        </w:rPr>
        <w:t>13</w:t>
      </w:r>
      <w:r>
        <w:t xml:space="preserve"> </w:t>
      </w:r>
      <w:r>
        <w:rPr>
          <w:lang w:val="sv-SE" w:bidi="sv-SE" w:eastAsia="sv-SE"/>
        </w:rPr>
        <w:t>kontroll</w:t>
      </w:r>
      <w:r>
        <w:t>besök.</w:t>
      </w:r>
    </w:p>
    <w:p>
      <w:pPr>
        <w:pStyle w:val="P3"/>
      </w:pPr>
      <w:r>
        <w:t>Miljöskydd</w:t>
      </w:r>
    </w:p>
    <w:p>
      <w:pPr>
        <w:pStyle w:val="P20"/>
        <w:ind w:firstLine="0" w:left="2268"/>
      </w:pPr>
      <w:r>
        <w:t xml:space="preserve">Miljöskyddsprojektet del 1 (exklusive lantbruk) har påbörjats som planerat. Del 1 omfattar </w:t>
      </w:r>
      <w:r>
        <w:rPr>
          <w:lang w:val="sv-SE" w:bidi="sv-SE" w:eastAsia="sv-SE"/>
        </w:rPr>
        <w:t>25</w:t>
      </w:r>
      <w:r>
        <w:t xml:space="preserve"> tillsynsobjekt och fram till och med april 1</w:t>
      </w:r>
      <w:r>
        <w:rPr>
          <w:lang w:val="sv-SE" w:bidi="sv-SE" w:eastAsia="sv-SE"/>
        </w:rPr>
        <w:t>6</w:t>
      </w:r>
      <w:r>
        <w:t xml:space="preserve"> tillsynsobjekt. Tillsynen riktar sig på egenkontroll.</w:t>
      </w:r>
    </w:p>
    <w:p>
      <w:pPr>
        <w:pStyle w:val="P20"/>
        <w:ind w:firstLine="567" w:left="1701"/>
      </w:pPr>
      <w:r>
        <w:t>Lantbruksprojektet kommer att påbörjas under hösten 201</w:t>
      </w:r>
      <w:r>
        <w:rPr>
          <w:lang w:val="sv-SE" w:bidi="sv-SE" w:eastAsia="sv-SE"/>
        </w:rPr>
        <w:t>7</w:t>
      </w:r>
      <w:r>
        <w:t>.</w:t>
      </w:r>
    </w:p>
    <w:p>
      <w:pPr>
        <w:pStyle w:val="P20"/>
        <w:ind w:firstLine="0" w:left="2268"/>
      </w:pPr>
      <w:r>
        <w:t>Antalet inkomna avloppsansökningar har t o m april 201</w:t>
      </w:r>
      <w:r>
        <w:rPr>
          <w:lang w:val="sv-SE" w:bidi="sv-SE" w:eastAsia="sv-SE"/>
        </w:rPr>
        <w:t>7</w:t>
      </w:r>
      <w:r>
        <w:t xml:space="preserve"> varit fler än som var beräknat. 6</w:t>
      </w:r>
      <w:r>
        <w:rPr>
          <w:lang w:val="sv-SE" w:bidi="sv-SE" w:eastAsia="sv-SE"/>
        </w:rPr>
        <w:t>2</w:t>
      </w:r>
      <w:r>
        <w:t xml:space="preserve"> st har inkommit mot förväntade ca 5</w:t>
      </w:r>
      <w:r>
        <w:rPr>
          <w:lang w:val="sv-SE" w:bidi="sv-SE" w:eastAsia="sv-SE"/>
        </w:rPr>
        <w:t>7</w:t>
      </w:r>
      <w:r>
        <w:t xml:space="preserve"> st.</w:t>
      </w:r>
    </w:p>
    <w:p>
      <w:pPr>
        <w:pStyle w:val="P20"/>
        <w:ind w:firstLine="0" w:left="2268"/>
      </w:pPr>
      <w:r>
        <w:rPr>
          <w:lang w:val="sv-SE" w:bidi="sv-SE" w:eastAsia="sv-SE"/>
        </w:rPr>
        <w:t>Det har fram till och med april inkommit 8st c-anmälningar.</w:t>
      </w:r>
    </w:p>
    <w:p>
      <w:pPr>
        <w:pStyle w:val="P3"/>
        <w:tabs>
          <w:tab w:val="right" w:pos="5387" w:leader="none"/>
          <w:tab w:val="right" w:pos="7371" w:leader="none"/>
        </w:tabs>
      </w:pPr>
      <w:r>
        <w:t>Avloppsinventering</w:t>
      </w:r>
    </w:p>
    <w:p>
      <w:pPr>
        <w:pStyle w:val="P20"/>
        <w:ind w:firstLine="0" w:left="2268"/>
      </w:pPr>
      <w:r>
        <w:t xml:space="preserve">Avloppsinventeringen kommer att påbörjas under </w:t>
      </w:r>
      <w:r>
        <w:rPr>
          <w:lang w:val="sv-SE" w:bidi="sv-SE" w:eastAsia="sv-SE"/>
        </w:rPr>
        <w:t>maj månad</w:t>
      </w:r>
      <w:r>
        <w:t xml:space="preserve">. Enkäter har skickats ut till berörda fastighetsägare och ett informationsmöte har hållits. Påminnelse har skickats ut till de fastighetsägare där åtgärdstiden </w:t>
      </w:r>
      <w:r>
        <w:rPr>
          <w:lang w:val="sv-SE" w:bidi="sv-SE" w:eastAsia="sv-SE"/>
        </w:rPr>
        <w:t xml:space="preserve">för avloppsanläggningen </w:t>
      </w:r>
      <w:r>
        <w:t>börjar ta slut.</w:t>
      </w:r>
      <w:r>
        <w:rPr>
          <w:lang w:val="sv-SE" w:bidi="sv-SE" w:eastAsia="sv-SE"/>
        </w:rPr>
        <w:t xml:space="preserve"> Uppföljning av de fastighetsägare som har angett att de ska ansöka självmant om ny avloppsanläggning har fortsatt under tertial 1.</w:t>
      </w:r>
    </w:p>
    <w:p>
      <w:pPr>
        <w:pStyle w:val="P3"/>
      </w:pPr>
      <w:r>
        <w:t>Alkohol, tobak, receptfria läkemedel och folköl</w:t>
      </w:r>
    </w:p>
    <w:p>
      <w:pPr>
        <w:pStyle w:val="P20"/>
        <w:ind w:firstLine="0" w:left="2268"/>
      </w:pPr>
      <w:r>
        <w:t xml:space="preserve">Arbete med överlämning av alkoholområdet till Nyköpings kommun har </w:t>
      </w:r>
      <w:r>
        <w:rPr>
          <w:lang w:val="sv-SE" w:bidi="sv-SE" w:eastAsia="sv-SE"/>
        </w:rPr>
        <w:t>fortsatt</w:t>
      </w:r>
      <w:r>
        <w:t xml:space="preserve">.  </w:t>
      </w:r>
      <w:r>
        <w:rPr>
          <w:lang w:val="sv-SE" w:bidi="sv-SE" w:eastAsia="sv-SE"/>
        </w:rPr>
        <w:t>T</w:t>
      </w:r>
      <w:r>
        <w:t xml:space="preserve">illsynsplan </w:t>
      </w:r>
      <w:r>
        <w:rPr>
          <w:lang w:val="sv-SE" w:bidi="sv-SE" w:eastAsia="sv-SE"/>
        </w:rPr>
        <w:t xml:space="preserve">för 2017 </w:t>
      </w:r>
      <w:r>
        <w:t>har tagits fram.</w:t>
      </w:r>
      <w:r>
        <w:rPr>
          <w:lang w:val="sv-SE" w:bidi="sv-SE" w:eastAsia="sv-SE"/>
        </w:rPr>
        <w:t xml:space="preserve"> Ny taxa antogs i december 2016. Blanketter har uppdaterats.</w:t>
      </w:r>
    </w:p>
    <w:p>
      <w:pPr>
        <w:pStyle w:val="P2"/>
      </w:pPr>
      <w:r>
        <w:t>Förutsättningar</w:t>
      </w:r>
    </w:p>
    <w:p>
      <w:pPr>
        <w:pStyle w:val="P20"/>
        <w:ind w:firstLine="0" w:left="2268"/>
        <w:rPr>
          <w:lang w:val="sv-SE" w:bidi="sv-SE" w:eastAsia="sv-SE"/>
        </w:rPr>
      </w:pPr>
      <w:r>
        <w:t xml:space="preserve">Under januari och februari </w:t>
      </w:r>
      <w:r>
        <w:rPr>
          <w:lang w:val="sv-SE" w:bidi="sv-SE" w:eastAsia="sv-SE"/>
        </w:rPr>
        <w:t xml:space="preserve"> och till mitten av mars </w:t>
      </w:r>
      <w:r>
        <w:t xml:space="preserve">var personalen på miljöenheten fullt bemannad. En inspektör </w:t>
      </w:r>
      <w:r>
        <w:rPr>
          <w:lang w:val="sv-SE" w:bidi="sv-SE" w:eastAsia="sv-SE"/>
        </w:rPr>
        <w:t>slutade i mitten av mars och en ersättare började 1 april. I mitten av april slutade en inspektör och</w:t>
      </w:r>
      <w:r>
        <w:t xml:space="preserve"> </w:t>
      </w:r>
      <w:r>
        <w:rPr>
          <w:lang w:val="sv-SE" w:bidi="sv-SE" w:eastAsia="sv-SE"/>
        </w:rPr>
        <w:t>rekrytering har avslutas och den nya inspektören börjar 12 juni. Det har varit resursbrist under mars och april pga av glapp mellan anställningar. Handledning av nyrekryterad personal har inneburit att miljöenhetens arbete har fått prioriteras om. Livsmedelsobjekten kommer att få kontroll under sommaren efter att den nyanställda inspektören har börjat sin anställning.</w:t>
      </w:r>
    </w:p>
    <w:p>
      <w:pPr>
        <w:pStyle w:val="P2"/>
      </w:pPr>
      <w:r>
        <w:rPr>
          <w:lang w:val="sv-SE" w:bidi="sv-SE" w:eastAsia="sv-SE"/>
        </w:rPr>
        <w:t>R</w:t>
      </w:r>
      <w:r>
        <w:t>esultat</w:t>
      </w:r>
    </w:p>
    <w:p>
      <w:pPr>
        <w:pStyle w:val="P20"/>
        <w:ind w:left="2268"/>
      </w:pPr>
      <w:r>
        <w:rPr>
          <w:rStyle w:val="C11"/>
          <w:b w:val="0"/>
          <w:color w:val="000000"/>
        </w:rPr>
        <w:t>Miljöskydd</w:t>
      </w:r>
      <w:r>
        <w:rPr>
          <w:rStyle w:val="C11"/>
          <w:b w:val="0"/>
          <w:color w:val="000000"/>
          <w:lang w:val="sv-SE" w:bidi="sv-SE" w:eastAsia="sv-SE"/>
        </w:rPr>
        <w:t>, hälsoskydd</w:t>
      </w:r>
      <w:r>
        <w:rPr>
          <w:rStyle w:val="C11"/>
          <w:b w:val="0"/>
          <w:color w:val="000000"/>
        </w:rPr>
        <w:t>- och livsmedelsprojekten har till och med april 201</w:t>
      </w:r>
      <w:r>
        <w:rPr>
          <w:rStyle w:val="C11"/>
          <w:b w:val="0"/>
          <w:color w:val="000000"/>
          <w:lang w:val="sv-SE" w:bidi="sv-SE" w:eastAsia="sv-SE"/>
        </w:rPr>
        <w:t>7</w:t>
      </w:r>
      <w:r>
        <w:rPr>
          <w:rStyle w:val="C11"/>
          <w:b w:val="0"/>
          <w:color w:val="000000"/>
        </w:rPr>
        <w:t xml:space="preserve"> omfattat 77 tillsynsbesök varav </w:t>
      </w:r>
      <w:r>
        <w:rPr>
          <w:rStyle w:val="C11"/>
          <w:b w:val="0"/>
          <w:color w:val="000000"/>
          <w:lang w:val="sv-SE" w:bidi="sv-SE" w:eastAsia="sv-SE"/>
        </w:rPr>
        <w:t>57</w:t>
      </w:r>
      <w:r>
        <w:rPr>
          <w:rStyle w:val="C11"/>
          <w:b w:val="0"/>
          <w:color w:val="000000"/>
        </w:rPr>
        <w:t xml:space="preserve"> utförts</w:t>
      </w:r>
      <w:r>
        <w:rPr>
          <w:rStyle w:val="C11"/>
          <w:color w:val="000000"/>
        </w:rPr>
        <w:t xml:space="preserve">. </w:t>
      </w:r>
      <w:r>
        <w:t xml:space="preserve">Av </w:t>
      </w:r>
      <w:r>
        <w:rPr>
          <w:lang w:val="sv-SE" w:bidi="sv-SE" w:eastAsia="sv-SE"/>
        </w:rPr>
        <w:t>57</w:t>
      </w:r>
      <w:r>
        <w:t xml:space="preserve"> besök har </w:t>
      </w:r>
      <w:r>
        <w:rPr>
          <w:lang w:val="sv-SE" w:bidi="sv-SE" w:eastAsia="sv-SE"/>
        </w:rPr>
        <w:t>15</w:t>
      </w:r>
      <w:r>
        <w:t xml:space="preserve"> genererat avvikelser. </w:t>
      </w:r>
    </w:p>
    <w:p>
      <w:pPr>
        <w:pStyle w:val="P20"/>
        <w:ind w:firstLine="0" w:left="2268"/>
      </w:pPr>
      <w:r>
        <w:t xml:space="preserve">Det har inkommit 5 fler avloppsansökningar än vad som var förväntat t o m april, vilket innebär att det tillkommit </w:t>
      </w:r>
      <w:r>
        <w:rPr>
          <w:lang w:val="sv-SE" w:bidi="sv-SE" w:eastAsia="sv-SE"/>
        </w:rPr>
        <w:t>3</w:t>
      </w:r>
      <w:r>
        <w:t xml:space="preserve">0 timmars mer tillsynstid än väntat. En av inspektörerna </w:t>
      </w:r>
      <w:r>
        <w:rPr>
          <w:lang w:val="sv-SE" w:bidi="sv-SE" w:eastAsia="sv-SE"/>
        </w:rPr>
        <w:t>slutade i mitten av mars och en inspektör i mitten av april</w:t>
      </w:r>
      <w:r>
        <w:t xml:space="preserve">. </w:t>
      </w:r>
      <w:r>
        <w:rPr>
          <w:lang w:val="sv-SE" w:bidi="sv-SE" w:eastAsia="sv-SE"/>
        </w:rPr>
        <w:t xml:space="preserve">Rekrytering har utförts och tjänsterna är tillsatta. Handledning av ny personal har pågått under mars och april vilket har inneburit att miljöenhetens arbete har fått prioriterats om. </w:t>
      </w:r>
      <w:r>
        <w:t xml:space="preserve">Detta har inneburit att det har uppstått en brist och den planerade tillsynen ligger något efter. De flesta tillsynsobjekten för del 1 är inbokade. </w:t>
      </w:r>
    </w:p>
    <w:p>
      <w:pPr>
        <w:pStyle w:val="P3"/>
      </w:pPr>
      <w:r>
        <w:t>Hälsoskydd</w:t>
      </w:r>
    </w:p>
    <w:p>
      <w:r>
        <w:t xml:space="preserve">Projekt 1 av 2 har påbörjats som planerat. </w:t>
      </w:r>
      <w:r>
        <w:rPr>
          <w:lang w:val="sv-SE" w:bidi="sv-SE" w:eastAsia="sv-SE"/>
        </w:rPr>
        <w:t>28</w:t>
      </w:r>
      <w:r>
        <w:t xml:space="preserve"> tillsynsbesök har genomförts och har genererat </w:t>
      </w:r>
      <w:r>
        <w:rPr>
          <w:lang w:val="sv-SE" w:bidi="sv-SE" w:eastAsia="sv-SE"/>
        </w:rPr>
        <w:t>8</w:t>
      </w:r>
      <w:r>
        <w:t xml:space="preserve"> avvikelser</w:t>
      </w:r>
      <w:r>
        <w:rPr>
          <w:lang w:val="sv-SE" w:bidi="sv-SE" w:eastAsia="sv-SE"/>
        </w:rPr>
        <w:t>.</w:t>
      </w:r>
    </w:p>
    <w:p>
      <w:pPr>
        <w:pStyle w:val="P3"/>
      </w:pPr>
      <w:r>
        <w:t>Livsmedel</w:t>
      </w:r>
    </w:p>
    <w:p>
      <w:r>
        <w:t>Projekt 1 av 2 har påbörjats som planerat. 1</w:t>
      </w:r>
      <w:r>
        <w:rPr>
          <w:lang w:val="sv-SE" w:bidi="sv-SE" w:eastAsia="sv-SE"/>
        </w:rPr>
        <w:t>3</w:t>
      </w:r>
      <w:r>
        <w:t xml:space="preserve"> kontrollbesök har genomförts</w:t>
      </w:r>
      <w:r>
        <w:rPr>
          <w:lang w:val="sv-SE" w:bidi="sv-SE" w:eastAsia="sv-SE"/>
        </w:rPr>
        <w:t xml:space="preserve"> och har genererat 4 avvikelser. </w:t>
      </w:r>
      <w:r>
        <w:t xml:space="preserve"> </w:t>
      </w:r>
      <w:r>
        <w:rPr>
          <w:lang w:val="sv-SE" w:bidi="sv-SE" w:eastAsia="sv-SE"/>
        </w:rPr>
        <w:t>R</w:t>
      </w:r>
      <w:r>
        <w:t xml:space="preserve">esterande kontrollobjekt </w:t>
      </w:r>
      <w:r>
        <w:rPr>
          <w:lang w:val="sv-SE" w:bidi="sv-SE" w:eastAsia="sv-SE"/>
        </w:rPr>
        <w:t>för del 1 kommer att utföras under sommaren.</w:t>
      </w:r>
    </w:p>
    <w:p>
      <w:pPr>
        <w:pStyle w:val="P3"/>
      </w:pPr>
      <w:r>
        <w:t>Avloppsinventering</w:t>
      </w:r>
    </w:p>
    <w:p>
      <w:pPr>
        <w:pStyle w:val="P20"/>
        <w:ind w:firstLine="0" w:left="2268"/>
      </w:pPr>
      <w:r>
        <w:t>En person har rekryterats för att genomföra årets inventering. Förarbetet har påbörjats och både enkäter och ansökningar har börjat skickats in.</w:t>
      </w:r>
    </w:p>
    <w:p>
      <w:pPr>
        <w:pStyle w:val="P3"/>
      </w:pPr>
      <w:r>
        <w:t>Miljöskydd</w:t>
      </w:r>
    </w:p>
    <w:p>
      <w:pPr>
        <w:pStyle w:val="P20"/>
        <w:ind w:firstLine="0" w:left="2268"/>
      </w:pPr>
      <w:r>
        <w:t xml:space="preserve">Projekt 1 av 2 har påbörjats som planerat. </w:t>
      </w:r>
      <w:r>
        <w:rPr>
          <w:lang w:val="sv-SE" w:bidi="sv-SE" w:eastAsia="sv-SE"/>
        </w:rPr>
        <w:t>16</w:t>
      </w:r>
      <w:r>
        <w:t xml:space="preserve"> tillsynsbesök har genomförts och har genererat </w:t>
      </w:r>
      <w:r>
        <w:rPr>
          <w:lang w:val="sv-SE" w:bidi="sv-SE" w:eastAsia="sv-SE"/>
        </w:rPr>
        <w:t>3</w:t>
      </w:r>
      <w:r>
        <w:t xml:space="preserve"> avvikelser.</w:t>
      </w:r>
    </w:p>
    <w:p>
      <w:pPr>
        <w:pStyle w:val="P20"/>
        <w:ind w:firstLine="0" w:left="2268"/>
      </w:pPr>
      <w:r>
        <w:t>Antalet avloppsansökningar har t.o.m. april 201</w:t>
      </w:r>
      <w:r>
        <w:rPr>
          <w:lang w:val="sv-SE" w:bidi="sv-SE" w:eastAsia="sv-SE"/>
        </w:rPr>
        <w:t>7</w:t>
      </w:r>
      <w:r>
        <w:t xml:space="preserve"> varit 6</w:t>
      </w:r>
      <w:r>
        <w:rPr>
          <w:lang w:val="sv-SE" w:bidi="sv-SE" w:eastAsia="sv-SE"/>
        </w:rPr>
        <w:t>2</w:t>
      </w:r>
      <w:r>
        <w:t xml:space="preserve"> st mot förväntade ca 5</w:t>
      </w:r>
      <w:r>
        <w:rPr>
          <w:lang w:val="sv-SE" w:bidi="sv-SE" w:eastAsia="sv-SE"/>
        </w:rPr>
        <w:t>7</w:t>
      </w:r>
      <w:r>
        <w:t xml:space="preserve"> st vilket innebär </w:t>
      </w:r>
      <w:r>
        <w:rPr>
          <w:lang w:val="sv-SE" w:bidi="sv-SE" w:eastAsia="sv-SE"/>
        </w:rPr>
        <w:t>3</w:t>
      </w:r>
      <w:r>
        <w:t xml:space="preserve">0 timmars mer tillsynsarbete än vad som var planerat. </w:t>
      </w:r>
    </w:p>
    <w:p>
      <w:pPr>
        <w:pStyle w:val="P3"/>
      </w:pPr>
      <w:r>
        <w:t>Alkohol, tobak, receptfria läkemedel och folköl</w:t>
      </w:r>
    </w:p>
    <w:p>
      <w:pPr>
        <w:pStyle w:val="P20"/>
        <w:ind w:firstLine="0" w:left="2268"/>
      </w:pPr>
      <w:r>
        <w:t xml:space="preserve">Arbete med överlämning av alkoholområdet till Nyköpings kommun har fortsatt.  Tillsynsplan för 2017 har tagits fram. Ny taxa antogs i december 2016. Riktlinjerna har reviderats</w:t>
      </w:r>
      <w:r>
        <w:rPr>
          <w:lang w:val="sv-SE" w:bidi="sv-SE" w:eastAsia="sv-SE"/>
        </w:rPr>
        <w:t xml:space="preserve"> och blanketter har uppdaterats</w:t>
      </w:r>
      <w:r>
        <w:t>.</w:t>
      </w:r>
    </w:p>
    <w:p>
      <w:pPr>
        <w:pStyle w:val="P2"/>
      </w:pPr>
      <w:r>
        <w:t>Övrigt inom enhetens ansvarsområde</w:t>
      </w:r>
    </w:p>
    <w:p>
      <w:pPr>
        <w:pStyle w:val="P20"/>
        <w:ind w:firstLine="0" w:left="2268"/>
        <w:rPr>
          <w:lang w:val="sv-SE" w:bidi="sv-SE" w:eastAsia="sv-SE"/>
        </w:rPr>
      </w:pPr>
      <w:r>
        <w:rPr>
          <w:lang w:val="sv-SE" w:bidi="sv-SE" w:eastAsia="sv-SE"/>
        </w:rPr>
        <w:t>Ett flertal c-anmälningar enligt miljöbalken har inkommit och fler beräknas inkomma under våren.</w:t>
      </w:r>
    </w:p>
    <w:p>
      <w:pPr>
        <w:pStyle w:val="P20"/>
        <w:ind w:firstLine="0" w:left="2268"/>
      </w:pPr>
      <w:r>
        <w:rPr>
          <w:lang w:val="sv-SE" w:bidi="sv-SE" w:eastAsia="sv-SE"/>
        </w:rPr>
        <w:t>Miljöenhetens taxor har reviderats med nya timavgifter.</w:t>
      </w:r>
    </w:p>
    <w:p>
      <w:pPr>
        <w:pStyle w:val="P2"/>
        <w:rPr>
          <w:sz w:val="28"/>
        </w:rPr>
      </w:pPr>
      <w:r>
        <w:rPr>
          <w:rStyle w:val="C5"/>
          <w:color w:val="000000"/>
        </w:rPr>
        <w:t>Förvaltningens synpunkter</w:t>
      </w:r>
    </w:p>
    <w:p>
      <w:pPr>
        <w:ind w:firstLine="0" w:left="2268"/>
      </w:pPr>
      <w:r>
        <w:t>Miljöenheten har sammanställt det arbete som utförts under perioden januari t.o.m. april i enlighet med tillsyns- och kontrollplanen</w:t>
      </w:r>
    </w:p>
    <w:p/>
    <w:tbl>
      <w:tblPr>
        <w:tblStyle w:val="T1"/>
        <w:tblW w:w="0" w:type="auto"/>
        <w:tblInd w:w="2268" w:type="dxa"/>
        <w:tblBorders>
          <w:top w:val="none" w:sz="0" w:space="0" w:shadow="0" w:frame="0" w:color="000000"/>
          <w:left w:val="none" w:sz="0" w:space="0" w:shadow="0" w:frame="0" w:color="000000"/>
          <w:bottom w:val="none" w:sz="0" w:space="0" w:shadow="0" w:frame="0" w:color="000000"/>
          <w:right w:val="none" w:sz="0" w:space="0" w:shadow="0" w:frame="0" w:color="000000"/>
          <w:insideH w:val="none" w:sz="0" w:space="0" w:shadow="0" w:frame="0" w:color="000000"/>
          <w:insideV w:val="none" w:sz="0" w:space="0" w:shadow="0" w:frame="0" w:color="000000"/>
        </w:tblBorders>
        <w:tblCellMar>
          <w:top w:w="0" w:type="dxa"/>
          <w:left w:w="108" w:type="dxa"/>
          <w:bottom w:w="0" w:type="dxa"/>
          <w:right w:w="108" w:type="dxa"/>
        </w:tblCellMar>
        <w:tblLook w:val="04A0"/>
      </w:tblPr>
      <w:tblGrid/>
      <w:tr>
        <w:tc>
          <w:tcPr>
            <w:tcW w:w="5071" w:type="dxa"/>
            <w:tcBorders>
              <w:top w:val="none" w:sz="0" w:space="0" w:shadow="0" w:frame="0" w:color="000000"/>
              <w:left w:val="none" w:sz="0" w:space="0" w:shadow="0" w:frame="0" w:color="000000"/>
              <w:bottom w:val="none" w:sz="0" w:space="0" w:shadow="0" w:frame="0" w:color="000000"/>
              <w:right w:val="none" w:sz="0" w:space="0" w:shadow="0" w:frame="0" w:color="000000"/>
            </w:tcBorders>
            <w:tcMar>
              <w:left w:w="108" w:type="dxa"/>
              <w:right w:w="108" w:type="dxa"/>
            </w:tcMar>
          </w:tcPr>
          <w:p>
            <w:pPr>
              <w:ind w:left="0"/>
              <w:rPr>
                <w:rFonts w:ascii="Tahoma" w:hAnsi="Tahoma"/>
                <w:sz w:val="22"/>
              </w:rPr>
            </w:pPr>
            <w:r>
              <w:rPr>
                <w:rFonts w:ascii="Tahoma" w:hAnsi="Tahoma"/>
                <w:sz w:val="22"/>
                <w:lang w:val="sv-SE" w:bidi="sv-SE" w:eastAsia="sv-SE"/>
              </w:rPr>
              <w:t xml:space="preserve">Patrik Nissen </w:t>
            </w:r>
          </w:p>
        </w:tc>
        <w:tc>
          <w:tcPr>
            <w:tcW w:w="5071" w:type="dxa"/>
            <w:tcBorders>
              <w:top w:val="none" w:sz="0" w:space="0" w:shadow="0" w:frame="0" w:color="000000"/>
              <w:left w:val="none" w:sz="0" w:space="0" w:shadow="0" w:frame="0" w:color="000000"/>
              <w:bottom w:val="none" w:sz="0" w:space="0" w:shadow="0" w:frame="0" w:color="000000"/>
              <w:right w:val="none" w:sz="0" w:space="0" w:shadow="0" w:frame="0" w:color="000000"/>
            </w:tcBorders>
            <w:tcMar>
              <w:left w:w="108" w:type="dxa"/>
              <w:right w:w="108" w:type="dxa"/>
            </w:tcMar>
          </w:tcPr>
          <w:p>
            <w:pPr>
              <w:ind w:left="0"/>
              <w:rPr>
                <w:rFonts w:ascii="Tahoma" w:hAnsi="Tahoma"/>
                <w:sz w:val="22"/>
              </w:rPr>
            </w:pPr>
            <w:r>
              <w:rPr>
                <w:rFonts w:ascii="Tahoma" w:hAnsi="Tahoma"/>
                <w:sz w:val="22"/>
              </w:rPr>
              <w:t xml:space="preserve">Ellinor Lundin </w:t>
            </w:r>
          </w:p>
        </w:tc>
      </w:tr>
      <w:tr>
        <w:tc>
          <w:tcPr>
            <w:tcW w:w="5071" w:type="dxa"/>
            <w:tcBorders>
              <w:top w:val="none" w:sz="0" w:space="0" w:shadow="0" w:frame="0" w:color="000000"/>
              <w:left w:val="none" w:sz="0" w:space="0" w:shadow="0" w:frame="0" w:color="000000"/>
              <w:bottom w:val="none" w:sz="0" w:space="0" w:shadow="0" w:frame="0" w:color="000000"/>
              <w:right w:val="none" w:sz="0" w:space="0" w:shadow="0" w:frame="0" w:color="000000"/>
            </w:tcBorders>
            <w:tcMar>
              <w:left w:w="108" w:type="dxa"/>
              <w:right w:w="108" w:type="dxa"/>
            </w:tcMar>
          </w:tcPr>
          <w:p>
            <w:pPr>
              <w:ind w:left="0"/>
              <w:rPr>
                <w:rFonts w:ascii="Tahoma" w:hAnsi="Tahoma"/>
                <w:sz w:val="22"/>
              </w:rPr>
            </w:pPr>
            <w:r>
              <w:rPr>
                <w:rFonts w:ascii="Tahoma" w:hAnsi="Tahoma"/>
                <w:sz w:val="22"/>
                <w:lang w:val="sv-SE" w:bidi="sv-SE" w:eastAsia="sv-SE"/>
              </w:rPr>
              <w:t>Samhällsbyggnadschef</w:t>
            </w:r>
            <w:r>
              <w:rPr>
                <w:rFonts w:ascii="Tahoma" w:hAnsi="Tahoma"/>
                <w:sz w:val="22"/>
              </w:rPr>
              <w:t xml:space="preserve"> </w:t>
            </w:r>
          </w:p>
        </w:tc>
        <w:tc>
          <w:tcPr>
            <w:tcW w:w="5071" w:type="dxa"/>
            <w:tcBorders>
              <w:top w:val="none" w:sz="0" w:space="0" w:shadow="0" w:frame="0" w:color="000000"/>
              <w:left w:val="none" w:sz="0" w:space="0" w:shadow="0" w:frame="0" w:color="000000"/>
              <w:bottom w:val="none" w:sz="0" w:space="0" w:shadow="0" w:frame="0" w:color="000000"/>
              <w:right w:val="none" w:sz="0" w:space="0" w:shadow="0" w:frame="0" w:color="000000"/>
            </w:tcBorders>
            <w:tcMar>
              <w:left w:w="108" w:type="dxa"/>
              <w:right w:w="108" w:type="dxa"/>
            </w:tcMar>
          </w:tcPr>
          <w:p>
            <w:pPr>
              <w:ind w:left="0"/>
              <w:rPr>
                <w:rFonts w:ascii="Tahoma" w:hAnsi="Tahoma"/>
                <w:sz w:val="22"/>
              </w:rPr>
            </w:pPr>
            <w:r>
              <w:rPr>
                <w:rFonts w:ascii="Tahoma" w:hAnsi="Tahoma"/>
                <w:sz w:val="22"/>
              </w:rPr>
              <w:t>Miljö</w:t>
            </w:r>
            <w:r>
              <w:rPr>
                <w:rFonts w:ascii="Tahoma" w:hAnsi="Tahoma"/>
                <w:sz w:val="22"/>
                <w:lang w:val="sv-SE" w:bidi="sv-SE" w:eastAsia="sv-SE"/>
              </w:rPr>
              <w:t>chef</w:t>
            </w:r>
            <w:r>
              <w:rPr>
                <w:rFonts w:ascii="Tahoma" w:hAnsi="Tahoma"/>
                <w:sz w:val="22"/>
              </w:rPr>
              <w:t xml:space="preserve"> </w:t>
            </w:r>
          </w:p>
        </w:tc>
      </w:tr>
    </w:tbl>
    <w:p>
      <w:pPr>
        <w:pStyle w:val="P7"/>
        <w:ind w:left="0"/>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709" w:right="1276" w:top="567" w:bottom="1418" w:header="559" w:footer="709" w:gutter="0"/>
      <w:pgNumType w:start="1" w:chapSep="period"/>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rPr>
        <w:b w:val="1"/>
        <w:noProof w:val="1"/>
      </w:rPr>
      <w:drawing>
        <wp:anchor xmlns:wp="http://schemas.openxmlformats.org/drawingml/2006/wordprocessingDrawing" simplePos="0" allowOverlap="1" behindDoc="0" layoutInCell="1" locked="0" relativeHeight="2" distL="114300" distR="114300">
          <wp:simplePos x="0" y="0"/>
          <wp:positionH relativeFrom="column">
            <wp:posOffset>-67310</wp:posOffset>
          </wp:positionH>
          <wp:positionV relativeFrom="paragraph">
            <wp:posOffset>-319405</wp:posOffset>
          </wp:positionV>
          <wp:extent cx="6480175" cy="734695"/>
          <wp:wrapNone/>
          <wp:docPr id="3"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480175" cy="734695"/>
                  </a:xfrm>
                  <a:prstGeom prst="rect"/>
                </pic:spPr>
              </pic:pic>
            </a:graphicData>
          </a:graphic>
        </wp:anchor>
      </w:drawing>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Pr>
    <w:r>
      <w:rPr>
        <w:b w:val="1"/>
        <w:noProof w:val="1"/>
      </w:rPr>
      <w:drawing>
        <wp:anchor xmlns:wp="http://schemas.openxmlformats.org/drawingml/2006/wordprocessingDrawing" simplePos="0" allowOverlap="1" behindDoc="0" layoutInCell="1" locked="0" relativeHeight="1" distL="114300" distR="114300">
          <wp:simplePos x="0" y="0"/>
          <wp:positionH relativeFrom="column">
            <wp:posOffset>-219710</wp:posOffset>
          </wp:positionH>
          <wp:positionV relativeFrom="paragraph">
            <wp:posOffset>-325120</wp:posOffset>
          </wp:positionV>
          <wp:extent cx="6480175" cy="734695"/>
          <wp:wrapNone/>
          <wp:docPr id="4"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6480175" cy="734695"/>
                  </a:xfrm>
                  <a:prstGeom prst="rect"/>
                </pic:spPr>
              </pic:pic>
            </a:graphicData>
          </a:graphic>
        </wp:anchor>
      </w:drawing>
    </w:r>
    <w:r>
      <w:tab/>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770" w:type="dxa"/>
      <w:tblInd w:w="10" w:type="dxa"/>
      <w:tblLook w:val="04A0"/>
    </w:tblPr>
    <w:tblGrid/>
    <w:tr>
      <w:trPr>
        <w:trHeight w:hRule="exact" w:val="993"/>
      </w:trPr>
      <w:tc>
        <w:tcPr>
          <w:tcW w:w="2474" w:type="dxa"/>
          <w:tcBorders>
            <w:top w:val="nil" w:sz="0" w:space="0" w:shadow="0" w:frame="0" w:color="000000"/>
            <w:left w:val="nil" w:sz="0" w:space="0" w:shadow="0" w:frame="0" w:color="000000"/>
            <w:bottom w:val="nil" w:sz="0" w:space="0" w:shadow="0" w:frame="0" w:color="000000"/>
            <w:right w:val="nil" w:sz="0" w:space="0" w:shadow="0" w:frame="0" w:color="000000"/>
          </w:tcBorders>
        </w:tcPr>
        <w:p>
          <w:pPr>
            <w:pStyle w:val="P5"/>
          </w:pPr>
          <w:r>
            <w:rPr>
              <w:noProof w:val="1"/>
            </w:rPr>
            <w:drawing>
              <wp:anchor xmlns:wp="http://schemas.openxmlformats.org/drawingml/2006/wordprocessingDrawing" simplePos="0" allowOverlap="0" behindDoc="1" layoutInCell="1" locked="0" relativeHeight="1" distL="114300" distR="114300">
                <wp:simplePos x="0" y="0"/>
                <wp:positionH relativeFrom="page">
                  <wp:posOffset>20320</wp:posOffset>
                </wp:positionH>
                <wp:positionV relativeFrom="page">
                  <wp:posOffset>96520</wp:posOffset>
                </wp:positionV>
                <wp:extent cx="1452245" cy="494030"/>
                <wp:wrapThrough wrapText="bothSides">
                  <wp:wrapPolygon>
                    <wp:start x="0" y="0"/>
                    <wp:lineTo x="0" y="21600"/>
                    <wp:lineTo x="21600" y="21600"/>
                    <wp:lineTo x="21600" y="0"/>
                    <wp:lineTo x="0" y="0"/>
                  </wp:wrapPolygon>
                </wp:wrapThrough>
                <wp:docPr id="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52245" cy="494030"/>
                        </a:xfrm>
                        <a:prstGeom prst="rect"/>
                        <a:noFill/>
                        <a:ln>
                          <a:noFill/>
                        </a:ln>
                      </pic:spPr>
                    </pic:pic>
                  </a:graphicData>
                </a:graphic>
                <wp14:sizeRelH relativeFrom="margin">
                  <wp14:pctWidth>0</wp14:pctWidth>
                </wp14:sizeRelH>
                <wp14:sizeRelV relativeFrom="margin">
                  <wp14:pctHeight>0</wp14:pctHeight>
                </wp14:sizeRelV>
              </wp:anchor>
            </w:drawing>
          </w:r>
        </w:p>
      </w:tc>
      <w:tc>
        <w:tcPr>
          <w:tcW w:w="5421" w:type="dxa"/>
          <w:tcBorders>
            <w:top w:val="nil" w:sz="0" w:space="0" w:shadow="0" w:frame="0" w:color="000000"/>
            <w:left w:val="nil" w:sz="0" w:space="0" w:shadow="0" w:frame="0" w:color="000000"/>
            <w:bottom w:val="nil" w:sz="0" w:space="0" w:shadow="0" w:frame="0" w:color="000000"/>
            <w:right w:val="single" w:sz="4" w:space="0" w:shadow="0" w:frame="0" w:color="000000"/>
          </w:tcBorders>
        </w:tcPr>
        <w:p>
          <w:pPr>
            <w:pStyle w:val="P5"/>
          </w:pPr>
        </w:p>
        <w:p>
          <w:pPr>
            <w:pStyle w:val="P5"/>
          </w:pPr>
          <w:r>
            <w:rPr>
              <w:lang w:val="sv-SE" w:bidi="sv-SE" w:eastAsia="sv-SE"/>
            </w:rPr>
            <w:t>Samhällsbyggnadsförvaltningen</w:t>
          </w:r>
        </w:p>
      </w:tc>
      <w:tc>
        <w:tcPr>
          <w:tcW w:w="2875" w:type="dxa"/>
          <w:tcBorders>
            <w:top w:val="nil" w:sz="0" w:space="0" w:shadow="0" w:frame="0" w:color="000000"/>
            <w:left w:val="single" w:sz="4" w:space="0" w:shadow="0" w:frame="0" w:color="000000"/>
            <w:bottom w:val="nil" w:sz="0" w:space="0" w:shadow="0" w:frame="0" w:color="000000"/>
            <w:right w:val="nil" w:sz="0" w:space="0" w:shadow="0" w:frame="0" w:color="000000"/>
          </w:tcBorders>
        </w:tcPr>
        <w:p>
          <w:pPr>
            <w:pStyle w:val="P5"/>
          </w:pPr>
        </w:p>
        <w:p>
          <w:pPr>
            <w:pStyle w:val="P5"/>
          </w:pPr>
          <w:r>
            <w:t>TJÄNSTESKRIVELSE</w:t>
          </w:r>
        </w:p>
      </w:tc>
    </w:tr>
  </w:tbl>
  <w:p>
    <w:pPr>
      <w:pStyle w:val="P5"/>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2062" w:type="dxa"/>
      <w:tblBorders>
        <w:top w:val="nil" w:sz="0" w:space="0" w:shadow="0" w:frame="0" w:color="000000"/>
        <w:left w:val="nil" w:sz="0" w:space="0" w:shadow="0" w:frame="0" w:color="000000"/>
        <w:bottom w:val="nil" w:sz="0" w:space="0" w:shadow="0" w:frame="0" w:color="000000"/>
        <w:right w:val="nil" w:sz="0" w:space="0" w:shadow="0" w:frame="0" w:color="000000"/>
        <w:insideH w:val="nil" w:sz="0" w:space="0" w:shadow="0" w:frame="0" w:color="000000"/>
        <w:insideV w:val="nil" w:sz="0" w:space="0" w:shadow="0" w:frame="0" w:color="000000"/>
      </w:tblBorders>
      <w:tblLayout w:type="fixed"/>
      <w:tblLook w:val="04A0"/>
    </w:tblPr>
    <w:tblGrid/>
    <w:tr>
      <w:trPr>
        <w:trHeight w:hRule="exact" w:val="703"/>
      </w:trPr>
      <w:tc>
        <w:tcPr>
          <w:tcW w:w="1951" w:type="dxa"/>
        </w:tcPr>
        <w:p>
          <w:pPr>
            <w:pStyle w:val="P5"/>
          </w:pPr>
          <w:r>
            <w:rPr>
              <w:noProof w:val="1"/>
            </w:rPr>
            <w:drawing>
              <wp:anchor xmlns:wp="http://schemas.openxmlformats.org/drawingml/2006/wordprocessingDrawing" simplePos="0" allowOverlap="0" behindDoc="1" layoutInCell="1" locked="0" relativeHeight="2" distL="114300" distR="114300">
                <wp:simplePos x="0" y="0"/>
                <wp:positionH relativeFrom="page">
                  <wp:posOffset>74295</wp:posOffset>
                </wp:positionH>
                <wp:positionV relativeFrom="page">
                  <wp:posOffset>28575</wp:posOffset>
                </wp:positionV>
                <wp:extent cx="956945" cy="325120"/>
                <wp:wrapThrough wrapText="bothSides">
                  <wp:wrapPolygon>
                    <wp:start x="0" y="0"/>
                    <wp:lineTo x="0" y="21600"/>
                    <wp:lineTo x="21600" y="21600"/>
                    <wp:lineTo x="21600" y="0"/>
                    <wp:lineTo x="0" y="0"/>
                  </wp:wrapPolygon>
                </wp:wrapThrough>
                <wp:docPr id="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56945" cy="325120"/>
                        </a:xfrm>
                        <a:prstGeom prst="rect"/>
                        <a:noFill/>
                        <a:ln>
                          <a:noFill/>
                        </a:ln>
                      </pic:spPr>
                    </pic:pic>
                  </a:graphicData>
                </a:graphic>
                <wp14:sizeRelH relativeFrom="margin">
                  <wp14:pctWidth>0</wp14:pctWidth>
                </wp14:sizeRelH>
                <wp14:sizeRelV relativeFrom="margin">
                  <wp14:pctHeight>0</wp14:pctHeight>
                </wp14:sizeRelV>
              </wp:anchor>
            </w:drawing>
          </w:r>
        </w:p>
      </w:tc>
      <w:tc>
        <w:tcPr>
          <w:tcW w:w="6095" w:type="dxa"/>
          <w:tcBorders>
            <w:right w:val="single" w:sz="4" w:space="0" w:shadow="0" w:frame="0" w:color="000000"/>
          </w:tcBorders>
        </w:tcPr>
        <w:p>
          <w:pPr>
            <w:pStyle w:val="P15"/>
          </w:pPr>
          <w:r>
            <w:rPr>
              <w:lang w:val="sv-SE" w:bidi="sv-SE" w:eastAsia="sv-SE"/>
            </w:rPr>
            <w:t>Samhällsbyggnadsförvaltningen</w:t>
          </w:r>
          <w:r>
            <w:br w:type="textWrapping"/>
          </w:r>
        </w:p>
        <w:p>
          <w:pPr>
            <w:pStyle w:val="P15"/>
          </w:pPr>
        </w:p>
        <w:p>
          <w:pPr>
            <w:pStyle w:val="P15"/>
          </w:pPr>
        </w:p>
      </w:tc>
      <w:tc>
        <w:tcPr>
          <w:tcW w:w="2410" w:type="dxa"/>
          <w:tcBorders>
            <w:left w:val="single" w:sz="4" w:space="0" w:shadow="0" w:frame="0" w:color="000000"/>
          </w:tcBorders>
        </w:tcPr>
        <w:p>
          <w:pPr>
            <w:pStyle w:val="P15"/>
          </w:pPr>
          <w:r>
            <w:t>TJÄNSTESKRIVELSE</w:t>
          </w:r>
        </w:p>
      </w:tc>
      <w:tc>
        <w:tcPr>
          <w:tcW w:w="1134" w:type="dxa"/>
          <w:tcBorders>
            <w:left w:val="single" w:sz="4" w:space="0" w:shadow="0" w:frame="0" w:color="000000"/>
          </w:tcBorders>
        </w:tcPr>
        <w:p>
          <w:pPr>
            <w:pStyle w:val="P15"/>
          </w:pPr>
          <w:r>
            <w:fldChar w:fldCharType="begin"/>
          </w:r>
          <w:r>
            <w:instrText xml:space="preserve"> PAGE </w:instrText>
          </w:r>
          <w:r>
            <w:fldChar w:fldCharType="separate"/>
          </w:r>
          <w:r>
            <w:t>#</w:t>
          </w:r>
          <w:r>
            <w:fldChar w:fldCharType="end"/>
          </w:r>
          <w:r>
            <w:t>(</w:t>
          </w:r>
          <w:r>
            <w:fldChar w:fldCharType="begin"/>
          </w:r>
          <w:r>
            <w:instrText xml:space="preserve"> NUMPAGES </w:instrText>
          </w:r>
          <w:r>
            <w:fldChar w:fldCharType="separate"/>
          </w:r>
          <w:r>
            <w:t>#</w:t>
          </w:r>
          <w:r>
            <w:rPr>
              <w:noProof w:val="1"/>
            </w:rPr>
            <w:fldChar w:fldCharType="end"/>
          </w:r>
          <w:r>
            <w:t>)</w:t>
          </w:r>
        </w:p>
      </w:tc>
      <w:tc>
        <w:tcPr>
          <w:tcW w:w="236" w:type="dxa"/>
        </w:tcPr>
        <w:p>
          <w:pPr>
            <w:pStyle w:val="P15"/>
          </w:pPr>
        </w:p>
      </w:tc>
      <w:tc>
        <w:tcPr>
          <w:tcW w:w="236" w:type="dxa"/>
        </w:tcPr>
        <w:p>
          <w:pPr>
            <w:pStyle w:val="P15"/>
          </w:pPr>
        </w:p>
      </w:tc>
    </w:tr>
  </w:tbl>
  <w:p>
    <w:pPr>
      <w:pStyle w:val="P5"/>
    </w:pPr>
  </w:p>
</w:hdr>
</file>

<file path=word/numbering.xml><?xml version="1.0" encoding="utf-8"?>
<w:numbering xmlns:w="http://schemas.openxmlformats.org/wordprocessingml/2006/main">
  <w:abstractNum w:abstractNumId="0">
    <w:nsid w:val="02B74FB7"/>
    <w:multiLevelType w:val="hybridMultilevel"/>
    <w:lvl w:ilvl="0" w:tplc="E594ECFA">
      <w:start w:val="1"/>
      <w:numFmt w:val="bullet"/>
      <w:pStyle w:val="P11"/>
      <w:suff w:val="tab"/>
      <w:lvlText w:val=""/>
      <w:lvlJc w:val="left"/>
      <w:pPr>
        <w:ind w:hanging="360" w:left="2988"/>
      </w:pPr>
      <w:rPr>
        <w:rFonts w:ascii="Symbol" w:hAnsi="Symbol"/>
      </w:rPr>
    </w:lvl>
    <w:lvl w:ilvl="1" w:tplc="041D0003">
      <w:start w:val="1"/>
      <w:numFmt w:val="bullet"/>
      <w:suff w:val="tab"/>
      <w:lvlText w:val="o"/>
      <w:lvlJc w:val="left"/>
      <w:pPr>
        <w:ind w:hanging="360" w:left="3708"/>
      </w:pPr>
      <w:rPr>
        <w:rFonts w:ascii="Courier New" w:hAnsi="Courier New"/>
      </w:rPr>
    </w:lvl>
    <w:lvl w:ilvl="2" w:tplc="041D0005">
      <w:start w:val="1"/>
      <w:numFmt w:val="bullet"/>
      <w:suff w:val="tab"/>
      <w:lvlText w:val=""/>
      <w:lvlJc w:val="left"/>
      <w:pPr>
        <w:ind w:hanging="360" w:left="4428"/>
      </w:pPr>
      <w:rPr>
        <w:rFonts w:ascii="Wingdings" w:hAnsi="Wingdings"/>
      </w:rPr>
    </w:lvl>
    <w:lvl w:ilvl="3" w:tplc="041D0001">
      <w:start w:val="1"/>
      <w:numFmt w:val="bullet"/>
      <w:suff w:val="tab"/>
      <w:lvlText w:val=""/>
      <w:lvlJc w:val="left"/>
      <w:pPr>
        <w:ind w:hanging="360" w:left="5148"/>
      </w:pPr>
      <w:rPr>
        <w:rFonts w:ascii="Symbol" w:hAnsi="Symbol"/>
      </w:rPr>
    </w:lvl>
    <w:lvl w:ilvl="4" w:tplc="041D0003">
      <w:start w:val="1"/>
      <w:numFmt w:val="bullet"/>
      <w:suff w:val="tab"/>
      <w:lvlText w:val="o"/>
      <w:lvlJc w:val="left"/>
      <w:pPr>
        <w:ind w:hanging="360" w:left="5868"/>
      </w:pPr>
      <w:rPr>
        <w:rFonts w:ascii="Courier New" w:hAnsi="Courier New"/>
      </w:rPr>
    </w:lvl>
    <w:lvl w:ilvl="5" w:tplc="041D0005">
      <w:start w:val="1"/>
      <w:numFmt w:val="bullet"/>
      <w:suff w:val="tab"/>
      <w:lvlText w:val=""/>
      <w:lvlJc w:val="left"/>
      <w:pPr>
        <w:ind w:hanging="360" w:left="6588"/>
      </w:pPr>
      <w:rPr>
        <w:rFonts w:ascii="Wingdings" w:hAnsi="Wingdings"/>
      </w:rPr>
    </w:lvl>
    <w:lvl w:ilvl="6" w:tplc="041D0001">
      <w:start w:val="1"/>
      <w:numFmt w:val="bullet"/>
      <w:suff w:val="tab"/>
      <w:lvlText w:val=""/>
      <w:lvlJc w:val="left"/>
      <w:pPr>
        <w:ind w:hanging="360" w:left="7308"/>
      </w:pPr>
      <w:rPr>
        <w:rFonts w:ascii="Symbol" w:hAnsi="Symbol"/>
      </w:rPr>
    </w:lvl>
    <w:lvl w:ilvl="7" w:tplc="041D0003">
      <w:start w:val="1"/>
      <w:numFmt w:val="bullet"/>
      <w:suff w:val="tab"/>
      <w:lvlText w:val="o"/>
      <w:lvlJc w:val="left"/>
      <w:pPr>
        <w:ind w:hanging="360" w:left="8028"/>
      </w:pPr>
      <w:rPr>
        <w:rFonts w:ascii="Courier New" w:hAnsi="Courier New"/>
      </w:rPr>
    </w:lvl>
    <w:lvl w:ilvl="8" w:tplc="041D0005">
      <w:start w:val="1"/>
      <w:numFmt w:val="bullet"/>
      <w:suff w:val="tab"/>
      <w:lvlText w:val=""/>
      <w:lvlJc w:val="left"/>
      <w:pPr>
        <w:ind w:hanging="360" w:left="8748"/>
      </w:pPr>
      <w:rPr>
        <w:rFonts w:ascii="Wingdings" w:hAnsi="Wingdings"/>
      </w:rPr>
    </w:lvl>
  </w:abstractNum>
  <w:abstractNum w:abstractNumId="1">
    <w:nsid w:val="03240B13"/>
    <w:multiLevelType w:val="multilevel"/>
    <w:lvl w:ilvl="0">
      <w:start w:val="1"/>
      <w:numFmt w:val="decimal"/>
      <w:pStyle w:val="P9"/>
      <w:suff w:val="tab"/>
      <w:lvlText w:val="%1."/>
      <w:lvlJc w:val="left"/>
      <w:pPr>
        <w:ind w:hanging="360" w:left="360"/>
      </w:pPr>
      <w:rPr/>
    </w:lvl>
    <w:lvl w:ilvl="1">
      <w:start w:val="1"/>
      <w:numFmt w:val="decimal"/>
      <w:suff w:val="tab"/>
      <w:lvlText w:val="%2."/>
      <w:lvlJc w:val="left"/>
      <w:pPr>
        <w:ind w:hanging="652" w:left="1372"/>
      </w:pPr>
      <w:rPr/>
    </w:lvl>
    <w:lvl w:ilvl="2">
      <w:start w:val="1"/>
      <w:numFmt w:val="decimal"/>
      <w:suff w:val="tab"/>
      <w:lvlText w:val="%3."/>
      <w:lvlJc w:val="left"/>
      <w:pPr>
        <w:ind w:hanging="652" w:left="2092"/>
      </w:pPr>
      <w:rPr/>
    </w:lvl>
    <w:lvl w:ilvl="3">
      <w:start w:val="1"/>
      <w:numFmt w:val="decimal"/>
      <w:suff w:val="tab"/>
      <w:lvlText w:val="%4."/>
      <w:lvlJc w:val="left"/>
      <w:pPr>
        <w:ind w:hanging="652" w:left="2812"/>
      </w:pPr>
      <w:rPr/>
    </w:lvl>
    <w:lvl w:ilvl="4">
      <w:start w:val="1"/>
      <w:numFmt w:val="decimal"/>
      <w:suff w:val="tab"/>
      <w:lvlText w:val="%5."/>
      <w:lvlJc w:val="left"/>
      <w:pPr>
        <w:ind w:hanging="652" w:left="3532"/>
      </w:pPr>
      <w:rPr/>
    </w:lvl>
    <w:lvl w:ilvl="5">
      <w:start w:val="1"/>
      <w:numFmt w:val="decimal"/>
      <w:suff w:val="tab"/>
      <w:lvlText w:val="%6."/>
      <w:lvlJc w:val="left"/>
      <w:pPr>
        <w:ind w:hanging="652" w:left="4252"/>
      </w:pPr>
      <w:rPr/>
    </w:lvl>
    <w:lvl w:ilvl="6">
      <w:start w:val="1"/>
      <w:numFmt w:val="decimal"/>
      <w:suff w:val="tab"/>
      <w:lvlText w:val="%7."/>
      <w:lvlJc w:val="left"/>
      <w:pPr>
        <w:ind w:hanging="652" w:left="4972"/>
      </w:pPr>
      <w:rPr/>
    </w:lvl>
    <w:lvl w:ilvl="7">
      <w:start w:val="1"/>
      <w:numFmt w:val="decimal"/>
      <w:suff w:val="tab"/>
      <w:lvlText w:val="%8."/>
      <w:lvlJc w:val="left"/>
      <w:pPr>
        <w:ind w:hanging="652" w:left="5692"/>
      </w:pPr>
      <w:rPr/>
    </w:lvl>
    <w:lvl w:ilvl="8">
      <w:start w:val="1"/>
      <w:numFmt w:val="decimal"/>
      <w:suff w:val="tab"/>
      <w:lvlText w:val="%9."/>
      <w:lvlJc w:val="left"/>
      <w:pPr>
        <w:ind w:hanging="652" w:left="6412"/>
      </w:pPr>
      <w:rPr/>
    </w:lvl>
  </w:abstractNum>
  <w:abstractNum w:abstractNumId="2">
    <w:nsid w:val="18F0A4E4"/>
    <w:multiLevelType w:val="multilevel"/>
    <w:lvl w:ilvl="0">
      <w:start w:val="1"/>
      <w:numFmt w:val="decimal"/>
      <w:suff w:val="tab"/>
      <w:lvlText w:val="%1."/>
      <w:lvlJc w:val="left"/>
      <w:pPr>
        <w:ind w:hanging="652" w:left="652"/>
      </w:pPr>
      <w:rPr/>
    </w:lvl>
    <w:lvl w:ilvl="1">
      <w:start w:val="1"/>
      <w:numFmt w:val="decimal"/>
      <w:suff w:val="tab"/>
      <w:lvlText w:val="%2."/>
      <w:lvlJc w:val="left"/>
      <w:pPr>
        <w:ind w:hanging="652" w:left="1372"/>
      </w:pPr>
      <w:rPr/>
    </w:lvl>
    <w:lvl w:ilvl="2">
      <w:start w:val="1"/>
      <w:numFmt w:val="decimal"/>
      <w:suff w:val="tab"/>
      <w:lvlText w:val="%3."/>
      <w:lvlJc w:val="left"/>
      <w:pPr>
        <w:ind w:hanging="652" w:left="2092"/>
      </w:pPr>
      <w:rPr/>
    </w:lvl>
    <w:lvl w:ilvl="3">
      <w:start w:val="1"/>
      <w:numFmt w:val="decimal"/>
      <w:suff w:val="tab"/>
      <w:lvlText w:val="%4."/>
      <w:lvlJc w:val="left"/>
      <w:pPr>
        <w:ind w:hanging="652" w:left="2812"/>
      </w:pPr>
      <w:rPr/>
    </w:lvl>
    <w:lvl w:ilvl="4">
      <w:start w:val="1"/>
      <w:numFmt w:val="decimal"/>
      <w:suff w:val="tab"/>
      <w:lvlText w:val="%5."/>
      <w:lvlJc w:val="left"/>
      <w:pPr>
        <w:ind w:hanging="652" w:left="3532"/>
      </w:pPr>
      <w:rPr/>
    </w:lvl>
    <w:lvl w:ilvl="5">
      <w:start w:val="1"/>
      <w:numFmt w:val="decimal"/>
      <w:suff w:val="tab"/>
      <w:lvlText w:val="%6."/>
      <w:lvlJc w:val="left"/>
      <w:pPr>
        <w:ind w:hanging="652" w:left="4252"/>
      </w:pPr>
      <w:rPr/>
    </w:lvl>
    <w:lvl w:ilvl="6">
      <w:start w:val="1"/>
      <w:numFmt w:val="decimal"/>
      <w:suff w:val="tab"/>
      <w:lvlText w:val="%7."/>
      <w:lvlJc w:val="left"/>
      <w:pPr>
        <w:ind w:hanging="652" w:left="4972"/>
      </w:pPr>
      <w:rPr/>
    </w:lvl>
    <w:lvl w:ilvl="7">
      <w:start w:val="1"/>
      <w:numFmt w:val="decimal"/>
      <w:suff w:val="tab"/>
      <w:lvlText w:val="%8."/>
      <w:lvlJc w:val="left"/>
      <w:pPr>
        <w:ind w:hanging="652" w:left="5692"/>
      </w:pPr>
      <w:rPr/>
    </w:lvl>
    <w:lvl w:ilvl="8">
      <w:start w:val="1"/>
      <w:numFmt w:val="decimal"/>
      <w:suff w:val="tab"/>
      <w:lvlText w:val="%9."/>
      <w:lvlJc w:val="left"/>
      <w:pPr>
        <w:ind w:hanging="652" w:left="6412"/>
      </w:pPr>
      <w:rPr/>
    </w:lvl>
  </w:abstractNum>
  <w:abstractNum w:abstractNumId="3">
    <w:nsid w:val="1D27390B"/>
    <w:multiLevelType w:val="multilevel"/>
    <w:lvl w:ilvl="0">
      <w:start w:val="1"/>
      <w:numFmt w:val="bullet"/>
      <w:suff w:val="tab"/>
      <w:lvlText w:val="~"/>
      <w:lvlJc w:val="left"/>
      <w:pPr>
        <w:ind w:hanging="652" w:left="652"/>
      </w:pPr>
      <w:rPr>
        <w:rFonts w:ascii="Garamond" w:hAnsi="Garamond"/>
      </w:rPr>
    </w:lvl>
    <w:lvl w:ilvl="1">
      <w:start w:val="1"/>
      <w:numFmt w:val="bullet"/>
      <w:suff w:val="tab"/>
      <w:lvlText w:val="o"/>
      <w:lvlJc w:val="left"/>
      <w:pPr>
        <w:ind w:hanging="652" w:left="1372"/>
      </w:pPr>
      <w:rPr>
        <w:rFonts w:ascii="Symbol" w:hAnsi="Symbol"/>
      </w:rPr>
    </w:lvl>
    <w:lvl w:ilvl="2">
      <w:start w:val="1"/>
      <w:numFmt w:val="bullet"/>
      <w:suff w:val="tab"/>
      <w:lvlText w:val="·"/>
      <w:lvlJc w:val="left"/>
      <w:pPr>
        <w:ind w:hanging="652" w:left="2092"/>
      </w:pPr>
      <w:rPr>
        <w:rFonts w:ascii="Symbol" w:hAnsi="Symbol"/>
      </w:rPr>
    </w:lvl>
    <w:lvl w:ilvl="3">
      <w:start w:val="1"/>
      <w:numFmt w:val="bullet"/>
      <w:suff w:val="tab"/>
      <w:lvlText w:val="o"/>
      <w:lvlJc w:val="left"/>
      <w:pPr>
        <w:ind w:hanging="652" w:left="2812"/>
      </w:pPr>
      <w:rPr>
        <w:rFonts w:ascii="Symbol" w:hAnsi="Symbol"/>
      </w:rPr>
    </w:lvl>
    <w:lvl w:ilvl="4">
      <w:start w:val="1"/>
      <w:numFmt w:val="bullet"/>
      <w:suff w:val="tab"/>
      <w:lvlText w:val="·"/>
      <w:lvlJc w:val="left"/>
      <w:pPr>
        <w:ind w:hanging="652" w:left="3532"/>
      </w:pPr>
      <w:rPr>
        <w:rFonts w:ascii="Symbol" w:hAnsi="Symbol"/>
      </w:rPr>
    </w:lvl>
    <w:lvl w:ilvl="5">
      <w:start w:val="1"/>
      <w:numFmt w:val="bullet"/>
      <w:suff w:val="tab"/>
      <w:lvlText w:val="o"/>
      <w:lvlJc w:val="left"/>
      <w:pPr>
        <w:ind w:hanging="652" w:left="4252"/>
      </w:pPr>
      <w:rPr>
        <w:rFonts w:ascii="Symbol" w:hAnsi="Symbol"/>
      </w:rPr>
    </w:lvl>
    <w:lvl w:ilvl="6">
      <w:start w:val="1"/>
      <w:numFmt w:val="bullet"/>
      <w:suff w:val="tab"/>
      <w:lvlText w:val="·"/>
      <w:lvlJc w:val="left"/>
      <w:pPr>
        <w:ind w:hanging="652" w:left="4972"/>
      </w:pPr>
      <w:rPr>
        <w:rFonts w:ascii="Symbol" w:hAnsi="Symbol"/>
      </w:rPr>
    </w:lvl>
    <w:lvl w:ilvl="7">
      <w:start w:val="1"/>
      <w:numFmt w:val="bullet"/>
      <w:suff w:val="tab"/>
      <w:lvlText w:val="o"/>
      <w:lvlJc w:val="left"/>
      <w:pPr>
        <w:ind w:hanging="652" w:left="5692"/>
      </w:pPr>
      <w:rPr>
        <w:rFonts w:ascii="Symbol" w:hAnsi="Symbol"/>
      </w:rPr>
    </w:lvl>
    <w:lvl w:ilvl="8">
      <w:start w:val="1"/>
      <w:numFmt w:val="bullet"/>
      <w:suff w:val="tab"/>
      <w:lvlText w:val="·"/>
      <w:lvlJc w:val="left"/>
      <w:pPr>
        <w:ind w:hanging="652" w:left="6412"/>
      </w:pPr>
      <w:rPr>
        <w:rFonts w:ascii="Symbol" w:hAnsi="Symbol"/>
      </w:rPr>
    </w:lvl>
  </w:abstractNum>
  <w:abstractNum w:abstractNumId="4">
    <w:nsid w:val="58126792"/>
    <w:multiLevelType w:val="hybridMultilevel"/>
    <w:lvl w:ilvl="0" w:tplc="45A64C02">
      <w:start w:val="1"/>
      <w:numFmt w:val="decimal"/>
      <w:pStyle w:val="P18"/>
      <w:suff w:val="tab"/>
      <w:lvlText w:val="%1."/>
      <w:lvlJc w:val="left"/>
      <w:pPr>
        <w:ind w:hanging="360" w:left="2988"/>
      </w:pPr>
      <w:rPr/>
    </w:lvl>
    <w:lvl w:ilvl="1" w:tplc="041D0019">
      <w:start w:val="1"/>
      <w:numFmt w:val="lowerLetter"/>
      <w:suff w:val="tab"/>
      <w:lvlText w:val="%2."/>
      <w:lvlJc w:val="left"/>
      <w:pPr>
        <w:ind w:hanging="360" w:left="3708"/>
      </w:pPr>
      <w:rPr/>
    </w:lvl>
    <w:lvl w:ilvl="2" w:tplc="041D001B">
      <w:start w:val="1"/>
      <w:numFmt w:val="lowerRoman"/>
      <w:suff w:val="tab"/>
      <w:lvlText w:val="%3."/>
      <w:lvlJc w:val="right"/>
      <w:pPr>
        <w:ind w:hanging="180" w:left="4428"/>
      </w:pPr>
      <w:rPr/>
    </w:lvl>
    <w:lvl w:ilvl="3" w:tplc="041D000F">
      <w:start w:val="1"/>
      <w:numFmt w:val="decimal"/>
      <w:suff w:val="tab"/>
      <w:lvlText w:val="%4."/>
      <w:lvlJc w:val="left"/>
      <w:pPr>
        <w:ind w:hanging="360" w:left="5148"/>
      </w:pPr>
      <w:rPr/>
    </w:lvl>
    <w:lvl w:ilvl="4" w:tplc="041D0019">
      <w:start w:val="1"/>
      <w:numFmt w:val="lowerLetter"/>
      <w:suff w:val="tab"/>
      <w:lvlText w:val="%5."/>
      <w:lvlJc w:val="left"/>
      <w:pPr>
        <w:ind w:hanging="360" w:left="5868"/>
      </w:pPr>
      <w:rPr/>
    </w:lvl>
    <w:lvl w:ilvl="5" w:tplc="041D001B">
      <w:start w:val="1"/>
      <w:numFmt w:val="lowerRoman"/>
      <w:suff w:val="tab"/>
      <w:lvlText w:val="%6."/>
      <w:lvlJc w:val="right"/>
      <w:pPr>
        <w:ind w:hanging="180" w:left="6588"/>
      </w:pPr>
      <w:rPr/>
    </w:lvl>
    <w:lvl w:ilvl="6" w:tplc="041D000F">
      <w:start w:val="1"/>
      <w:numFmt w:val="decimal"/>
      <w:suff w:val="tab"/>
      <w:lvlText w:val="%7."/>
      <w:lvlJc w:val="left"/>
      <w:pPr>
        <w:ind w:hanging="360" w:left="7308"/>
      </w:pPr>
      <w:rPr/>
    </w:lvl>
    <w:lvl w:ilvl="7" w:tplc="041D0019">
      <w:start w:val="1"/>
      <w:numFmt w:val="lowerLetter"/>
      <w:suff w:val="tab"/>
      <w:lvlText w:val="%8."/>
      <w:lvlJc w:val="left"/>
      <w:pPr>
        <w:ind w:hanging="360" w:left="8028"/>
      </w:pPr>
      <w:rPr/>
    </w:lvl>
    <w:lvl w:ilvl="8" w:tplc="041D001B">
      <w:start w:val="1"/>
      <w:numFmt w:val="lowerRoman"/>
      <w:suff w:val="tab"/>
      <w:lvlText w:val="%9."/>
      <w:lvlJc w:val="right"/>
      <w:pPr>
        <w:ind w:hanging="180" w:left="8748"/>
      </w:pPr>
      <w:rPr/>
    </w:lvl>
  </w:abstractNum>
  <w:abstractNum w:abstractNumId="5">
    <w:nsid w:val="0EAB7550"/>
    <w:multiLevelType w:val="hybridMultilevel"/>
    <w:lvl w:ilvl="0" w:tplc="0BF02C36">
      <w:start w:val="1"/>
      <w:numFmt w:val="decimal"/>
      <w:suff w:val="tab"/>
      <w:lvlText w:val="%1."/>
      <w:lvlJc w:val="left"/>
      <w:pPr>
        <w:ind w:hanging="357" w:left="357"/>
      </w:pPr>
      <w:rPr/>
    </w:lvl>
    <w:lvl w:ilvl="1" w:tplc="165DC7A5">
      <w:start w:val="1"/>
      <w:numFmt w:val="decimal"/>
      <w:suff w:val="tab"/>
      <w:lvlText w:val="%2."/>
      <w:lvlJc w:val="left"/>
      <w:pPr>
        <w:ind w:hanging="652" w:left="1372"/>
      </w:pPr>
      <w:rPr/>
    </w:lvl>
    <w:lvl w:ilvl="2" w:tplc="5E8C3A36">
      <w:start w:val="1"/>
      <w:numFmt w:val="decimal"/>
      <w:suff w:val="tab"/>
      <w:lvlText w:val="%3."/>
      <w:lvlJc w:val="left"/>
      <w:pPr>
        <w:ind w:hanging="652" w:left="2092"/>
      </w:pPr>
      <w:rPr/>
    </w:lvl>
    <w:lvl w:ilvl="3" w:tplc="70E102A9">
      <w:start w:val="1"/>
      <w:numFmt w:val="decimal"/>
      <w:suff w:val="tab"/>
      <w:lvlText w:val="%4."/>
      <w:lvlJc w:val="left"/>
      <w:pPr>
        <w:ind w:hanging="652" w:left="2812"/>
      </w:pPr>
      <w:rPr/>
    </w:lvl>
    <w:lvl w:ilvl="4" w:tplc="501A8AC5">
      <w:start w:val="1"/>
      <w:numFmt w:val="decimal"/>
      <w:suff w:val="tab"/>
      <w:lvlText w:val="%5."/>
      <w:lvlJc w:val="left"/>
      <w:pPr>
        <w:ind w:hanging="652" w:left="3532"/>
      </w:pPr>
      <w:rPr/>
    </w:lvl>
    <w:lvl w:ilvl="5" w:tplc="14A7F520">
      <w:start w:val="1"/>
      <w:numFmt w:val="decimal"/>
      <w:suff w:val="tab"/>
      <w:lvlText w:val="%6."/>
      <w:lvlJc w:val="left"/>
      <w:pPr>
        <w:ind w:hanging="652" w:left="4252"/>
      </w:pPr>
      <w:rPr/>
    </w:lvl>
    <w:lvl w:ilvl="6" w:tplc="5468CC6F">
      <w:start w:val="1"/>
      <w:numFmt w:val="decimal"/>
      <w:suff w:val="tab"/>
      <w:lvlText w:val="%7."/>
      <w:lvlJc w:val="left"/>
      <w:pPr>
        <w:ind w:hanging="652" w:left="4972"/>
      </w:pPr>
      <w:rPr/>
    </w:lvl>
    <w:lvl w:ilvl="7" w:tplc="5EB3FA66">
      <w:start w:val="1"/>
      <w:numFmt w:val="decimal"/>
      <w:suff w:val="tab"/>
      <w:lvlText w:val="%8."/>
      <w:lvlJc w:val="left"/>
      <w:pPr>
        <w:ind w:hanging="652" w:left="5692"/>
      </w:pPr>
      <w:rPr/>
    </w:lvl>
    <w:lvl w:ilvl="8" w:tplc="68661DC9">
      <w:start w:val="1"/>
      <w:numFmt w:val="decimal"/>
      <w:suff w:val="tab"/>
      <w:lvlText w:val="%9."/>
      <w:lvlJc w:val="left"/>
      <w:pPr>
        <w:ind w:hanging="652" w:left="6412"/>
      </w:pPr>
      <w:rPr/>
    </w:lvl>
  </w:abstractNum>
  <w:num w:numId="1">
    <w:abstractNumId w:val="1"/>
  </w:num>
  <w:num w:numId="2">
    <w:abstractNumId w:val="2"/>
  </w:num>
  <w:num w:numId="3">
    <w:abstractNumId w:val="3"/>
  </w:num>
  <w:num w:numId="4">
    <w:abstractNumId w:val="0"/>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w="http://schemas.openxmlformats.org/wordprocessingml/2006/main">
  <w:displayBackgroundShape w:val="0"/>
  <w:defaultTabStop w:val="567"/>
  <w:autoHyphenation w:val="0"/>
  <w:evenAndOddHeaders w:val="0"/>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2"/>
        <w:u w:val="none"/>
        <w:shd w:val="clear" w:color="auto" w:fill="auto"/>
        <w:vertAlign w:val="baseline"/>
        <w:lang w:val="sv-SE"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pBdr>
        <w:top w:val="none" w:sz="0" w:space="0" w:shadow="0" w:frame="0" w:color="000000"/>
        <w:left w:val="none" w:sz="0" w:space="0" w:shadow="0" w:frame="0" w:color="000000"/>
        <w:bottom w:val="none" w:sz="0" w:space="0" w:shadow="0" w:frame="0" w:color="000000"/>
        <w:right w:val="none" w:sz="0" w:space="0" w:shadow="0" w:frame="0" w:color="000000"/>
      </w:pBdr>
      <w:spacing w:lineRule="auto" w:line="240" w:before="240" w:after="60" w:beforeAutospacing="0" w:afterAutospacing="0"/>
      <w:ind w:left="2268"/>
      <w:jc w:val="left"/>
    </w:pPr>
    <w:rPr>
      <w:rFonts w:ascii="Garamond" w:hAnsi="Garamond"/>
      <w:color w:val="000000"/>
      <w:sz w:val="24"/>
      <w:lang w:eastAsia="sv-SE"/>
    </w:rPr>
  </w:style>
  <w:style w:type="paragraph" w:styleId="P1">
    <w:name w:val="heading 1"/>
    <w:basedOn w:val="P0"/>
    <w:next w:val="P0"/>
    <w:link w:val="C5"/>
    <w:qFormat/>
    <w:pPr>
      <w:keepNext w:val="1"/>
      <w:keepLines w:val="1"/>
      <w:pBdr>
        <w:top w:val="none" w:sz="0" w:space="0" w:shadow="0" w:frame="0" w:color="000000"/>
        <w:left w:val="none" w:sz="0" w:space="0" w:shadow="0" w:frame="0" w:color="000000"/>
        <w:bottom w:val="none" w:sz="0" w:space="0" w:shadow="0" w:frame="0" w:color="000000"/>
        <w:right w:val="none" w:sz="0" w:space="0" w:shadow="0" w:frame="0" w:color="000000"/>
      </w:pBdr>
      <w:spacing w:before="1080" w:after="0" w:beforeAutospacing="0" w:afterAutospacing="0"/>
      <w:outlineLvl w:val="0"/>
    </w:pPr>
    <w:rPr>
      <w:rFonts w:ascii="Tahoma" w:hAnsi="Tahoma"/>
      <w:color w:val="000000"/>
      <w:sz w:val="28"/>
    </w:rPr>
  </w:style>
  <w:style w:type="paragraph" w:styleId="P2">
    <w:name w:val="heading 2"/>
    <w:basedOn w:val="P0"/>
    <w:next w:val="P0"/>
    <w:link w:val="C6"/>
    <w:qFormat/>
    <w:pPr>
      <w:keepNext w:val="1"/>
      <w:keepLines w:val="1"/>
      <w:spacing w:before="360" w:after="0" w:beforeAutospacing="0" w:afterAutospacing="0"/>
      <w:outlineLvl w:val="1"/>
    </w:pPr>
    <w:rPr>
      <w:rFonts w:ascii="Tahoma" w:hAnsi="Tahoma"/>
      <w:b w:val="1"/>
      <w:color w:val="000000"/>
    </w:rPr>
  </w:style>
  <w:style w:type="paragraph" w:styleId="P3">
    <w:name w:val="heading 3"/>
    <w:basedOn w:val="P0"/>
    <w:next w:val="P0"/>
    <w:link w:val="C7"/>
    <w:qFormat/>
    <w:pPr>
      <w:keepNext w:val="1"/>
      <w:keepLines w:val="1"/>
      <w:tabs>
        <w:tab w:val="left" w:pos="0" w:leader="none"/>
        <w:tab w:val="left" w:pos="1276" w:leader="none"/>
        <w:tab w:val="right" w:pos="2268" w:leader="none"/>
        <w:tab w:val="left" w:pos="2552" w:leader="none"/>
        <w:tab w:val="left" w:pos="3827" w:leader="none"/>
        <w:tab w:val="left" w:pos="5103" w:leader="none"/>
        <w:tab w:val="left" w:pos="6379" w:leader="none"/>
        <w:tab w:val="left" w:pos="7655" w:leader="none"/>
        <w:tab w:val="left" w:pos="8930" w:leader="none"/>
        <w:tab w:val="right" w:pos="10206" w:leader="none"/>
      </w:tabs>
      <w:spacing w:before="480" w:after="0" w:beforeAutospacing="0" w:afterAutospacing="0"/>
      <w:outlineLvl w:val="2"/>
    </w:pPr>
    <w:rPr>
      <w:rFonts w:ascii="Tahoma" w:hAnsi="Tahoma"/>
      <w:color w:val="000000"/>
    </w:rPr>
  </w:style>
  <w:style w:type="paragraph" w:styleId="P4">
    <w:name w:val="heading 4"/>
    <w:basedOn w:val="P0"/>
    <w:next w:val="P0"/>
    <w:link w:val="C10"/>
    <w:qFormat/>
    <w:pPr>
      <w:keepNext w:val="1"/>
      <w:keepLines w:val="1"/>
      <w:tabs>
        <w:tab w:val="left" w:pos="0" w:leader="none"/>
        <w:tab w:val="left" w:pos="1276" w:leader="none"/>
        <w:tab w:val="right" w:pos="2268" w:leader="none"/>
        <w:tab w:val="left" w:pos="2552" w:leader="none"/>
        <w:tab w:val="left" w:pos="3827" w:leader="none"/>
        <w:tab w:val="left" w:pos="5103" w:leader="none"/>
        <w:tab w:val="left" w:pos="6379" w:leader="none"/>
        <w:tab w:val="left" w:pos="7655" w:leader="none"/>
        <w:tab w:val="left" w:pos="8930" w:leader="none"/>
        <w:tab w:val="right" w:pos="10206" w:leader="none"/>
      </w:tabs>
      <w:spacing w:before="120" w:after="0" w:beforeAutospacing="0" w:afterAutospacing="0"/>
      <w:ind w:left="0"/>
      <w:outlineLvl w:val="3"/>
    </w:pPr>
    <w:rPr>
      <w:rFonts w:ascii="Tahoma" w:hAnsi="Tahoma"/>
      <w:color w:val="000000"/>
    </w:rPr>
  </w:style>
  <w:style w:type="paragraph" w:styleId="P5">
    <w:name w:val="header"/>
    <w:basedOn w:val="P0"/>
    <w:link w:val="C3"/>
    <w:qFormat/>
    <w:pPr>
      <w:pBdr>
        <w:top w:val="none" w:sz="0" w:space="0" w:shadow="0" w:frame="0" w:color="000000"/>
        <w:left w:val="none" w:sz="0" w:space="0" w:shadow="0" w:frame="0" w:color="000000"/>
        <w:bottom w:val="none" w:sz="0" w:space="0" w:shadow="0" w:frame="0" w:color="000000"/>
        <w:right w:val="none" w:sz="0" w:space="0" w:shadow="0" w:frame="0" w:color="000000"/>
      </w:pBdr>
      <w:tabs>
        <w:tab w:val="left" w:pos="0" w:leader="none"/>
        <w:tab w:val="left" w:pos="1276" w:leader="none"/>
        <w:tab w:val="right" w:pos="2268" w:leader="none"/>
        <w:tab w:val="left" w:pos="2552" w:leader="none"/>
        <w:tab w:val="left" w:pos="3827" w:leader="none"/>
        <w:tab w:val="center" w:pos="4536" w:leader="none"/>
        <w:tab w:val="left" w:pos="5103" w:leader="none"/>
        <w:tab w:val="left" w:pos="6379" w:leader="none"/>
        <w:tab w:val="left" w:pos="7655" w:leader="none"/>
        <w:tab w:val="left" w:pos="8930" w:leader="none"/>
        <w:tab w:val="right" w:pos="9072" w:leader="none"/>
        <w:tab w:val="right" w:pos="10206" w:leader="none"/>
      </w:tabs>
      <w:spacing w:before="120" w:after="0" w:beforeAutospacing="0" w:afterAutospacing="0"/>
      <w:ind w:left="0"/>
    </w:pPr>
    <w:rPr>
      <w:rFonts w:ascii="Tahoma" w:hAnsi="Tahoma"/>
      <w:sz w:val="28"/>
    </w:rPr>
  </w:style>
  <w:style w:type="paragraph" w:styleId="P6">
    <w:name w:val="footer"/>
    <w:basedOn w:val="P0"/>
    <w:link w:val="C4"/>
    <w:pPr>
      <w:tabs>
        <w:tab w:val="center" w:pos="4536" w:leader="none"/>
        <w:tab w:val="right" w:pos="9072" w:leader="none"/>
      </w:tabs>
      <w:spacing w:after="0" w:beforeAutospacing="0" w:afterAutospacing="0"/>
    </w:pPr>
    <w:rPr/>
  </w:style>
  <w:style w:type="paragraph" w:styleId="P7">
    <w:name w:val="Underskrift"/>
    <w:qFormat/>
    <w:pPr>
      <w:pBdr>
        <w:top w:val="none" w:sz="0" w:space="0" w:shadow="0" w:frame="0" w:color="000000"/>
        <w:left w:val="none" w:sz="0" w:space="0" w:shadow="0" w:frame="0" w:color="000000"/>
        <w:bottom w:val="none" w:sz="0" w:space="0" w:shadow="0" w:frame="0" w:color="000000"/>
        <w:right w:val="none" w:sz="0" w:space="0" w:shadow="0" w:frame="0" w:color="000000"/>
      </w:pBdr>
      <w:spacing w:lineRule="atLeast" w:line="240" w:before="960" w:after="0" w:beforeAutospacing="0" w:afterAutospacing="0"/>
      <w:ind w:left="2268"/>
    </w:pPr>
    <w:rPr>
      <w:rFonts w:ascii="Tahoma" w:hAnsi="Tahoma"/>
      <w:color w:val="000000"/>
      <w:lang w:eastAsia="sv-SE"/>
    </w:rPr>
  </w:style>
  <w:style w:type="paragraph" w:styleId="P8">
    <w:name w:val="Ärendemening"/>
    <w:basedOn w:val="P0"/>
    <w:qFormat/>
    <w:pPr>
      <w:spacing w:before="480" w:after="360" w:beforeAutospacing="0" w:afterAutospacing="0"/>
    </w:pPr>
    <w:rPr>
      <w:rFonts w:ascii="Tahoma" w:hAnsi="Tahoma"/>
      <w:sz w:val="28"/>
    </w:rPr>
  </w:style>
  <w:style w:type="paragraph" w:styleId="P9">
    <w:name w:val="Nummerlista"/>
    <w:basedOn w:val="P0"/>
    <w:qFormat/>
    <w:pPr>
      <w:numPr>
        <w:numId w:val="1"/>
      </w:numPr>
      <w:tabs>
        <w:tab w:val="right" w:pos="5387" w:leader="none"/>
        <w:tab w:val="right" w:pos="7371" w:leader="none"/>
      </w:tabs>
      <w:ind w:hanging="357" w:left="2625"/>
    </w:pPr>
    <w:rPr/>
  </w:style>
  <w:style w:type="paragraph" w:styleId="P10">
    <w:name w:val="Subtitle"/>
    <w:basedOn w:val="P0"/>
    <w:next w:val="P0"/>
    <w:link w:val="C8"/>
    <w:qFormat/>
    <w:pPr>
      <w:tabs>
        <w:tab w:val="left" w:pos="2268" w:leader="none"/>
      </w:tabs>
      <w:spacing w:before="360" w:beforeAutospacing="0" w:afterAutospacing="0"/>
      <w:ind w:left="2268"/>
    </w:pPr>
    <w:rPr>
      <w:rFonts w:ascii="Tahoma" w:hAnsi="Tahoma"/>
      <w:color w:val="000000"/>
    </w:rPr>
  </w:style>
  <w:style w:type="paragraph" w:styleId="P11">
    <w:name w:val="List Paragraph"/>
    <w:basedOn w:val="P0"/>
    <w:qFormat/>
    <w:pPr>
      <w:numPr>
        <w:numId w:val="4"/>
      </w:numPr>
      <w:pBdr>
        <w:top w:val="none" w:sz="0" w:space="0" w:shadow="0" w:frame="0" w:color="000000"/>
        <w:left w:val="none" w:sz="0" w:space="0" w:shadow="0" w:frame="0" w:color="000000"/>
        <w:bottom w:val="none" w:sz="0" w:space="0" w:shadow="0" w:frame="0" w:color="000000"/>
        <w:right w:val="none" w:sz="0" w:space="0" w:shadow="0" w:frame="0" w:color="000000"/>
      </w:pBdr>
      <w:ind w:hanging="357" w:left="2625"/>
      <w:contextualSpacing w:val="1"/>
    </w:pPr>
    <w:rPr/>
  </w:style>
  <w:style w:type="paragraph" w:styleId="P12">
    <w:name w:val="Upprättat"/>
    <w:basedOn w:val="P0"/>
    <w:qFormat/>
    <w:pPr>
      <w:pBdr>
        <w:top w:val="none" w:sz="0" w:space="0" w:shadow="0" w:frame="0" w:color="000000"/>
        <w:left w:val="none" w:sz="0" w:space="0" w:shadow="0" w:frame="0" w:color="000000"/>
        <w:bottom w:val="none" w:sz="0" w:space="0" w:shadow="0" w:frame="0" w:color="000000"/>
        <w:right w:val="none" w:sz="0" w:space="0" w:shadow="0" w:frame="0" w:color="000000"/>
      </w:pBdr>
      <w:tabs>
        <w:tab w:val="left" w:pos="0" w:leader="none"/>
        <w:tab w:val="left" w:pos="1276" w:leader="none"/>
        <w:tab w:val="right" w:pos="2268" w:leader="none"/>
        <w:tab w:val="left" w:pos="2552" w:leader="none"/>
        <w:tab w:val="left" w:pos="3827" w:leader="none"/>
        <w:tab w:val="left" w:pos="5103" w:leader="none"/>
        <w:tab w:val="left" w:pos="6379" w:leader="none"/>
        <w:tab w:val="left" w:pos="7655" w:leader="none"/>
        <w:tab w:val="left" w:pos="8930" w:leader="none"/>
        <w:tab w:val="right" w:pos="10206" w:leader="none"/>
      </w:tabs>
      <w:spacing w:before="0" w:after="0" w:beforeAutospacing="0" w:afterAutospacing="0"/>
      <w:ind w:left="757"/>
    </w:pPr>
    <w:rPr>
      <w:rFonts w:ascii="Tahoma" w:hAnsi="Tahoma"/>
    </w:rPr>
  </w:style>
  <w:style w:type="paragraph" w:styleId="P13">
    <w:name w:val="Upprättat datum"/>
    <w:basedOn w:val="P12"/>
    <w:qFormat/>
    <w:pPr>
      <w:ind w:left="0"/>
    </w:pPr>
    <w:rPr>
      <w:sz w:val="18"/>
    </w:rPr>
  </w:style>
  <w:style w:type="paragraph" w:styleId="P14">
    <w:name w:val="Titel"/>
    <w:basedOn w:val="P7"/>
    <w:qFormat/>
    <w:pPr>
      <w:spacing w:before="240" w:beforeAutospacing="0" w:afterAutospacing="0"/>
    </w:pPr>
    <w:rPr/>
  </w:style>
  <w:style w:type="paragraph" w:styleId="P15">
    <w:name w:val="Sidhuvud litet"/>
    <w:basedOn w:val="P5"/>
    <w:qFormat/>
    <w:pPr/>
    <w:rPr>
      <w:sz w:val="24"/>
    </w:rPr>
  </w:style>
  <w:style w:type="paragraph" w:styleId="P16">
    <w:name w:val="Mottagare"/>
    <w:basedOn w:val="P12"/>
    <w:qFormat/>
    <w:pPr>
      <w:tabs>
        <w:tab w:val="clear" w:pos="0" w:leader="none"/>
        <w:tab w:val="left" w:pos="743" w:leader="none"/>
      </w:tabs>
      <w:spacing w:before="480" w:beforeAutospacing="0" w:afterAutospacing="0"/>
      <w:ind w:left="743"/>
    </w:pPr>
    <w:rPr/>
  </w:style>
  <w:style w:type="paragraph" w:styleId="P17">
    <w:name w:val="Balloon Text"/>
    <w:basedOn w:val="P0"/>
    <w:link w:val="C9"/>
    <w:semiHidden/>
    <w:pPr>
      <w:spacing w:before="0" w:after="0" w:beforeAutospacing="0" w:afterAutospacing="0"/>
    </w:pPr>
    <w:rPr>
      <w:rFonts w:ascii="Tahoma" w:hAnsi="Tahoma"/>
      <w:sz w:val="16"/>
    </w:rPr>
  </w:style>
  <w:style w:type="paragraph" w:styleId="P18">
    <w:name w:val="Nummerlista bilagor"/>
    <w:basedOn w:val="P9"/>
    <w:qFormat/>
    <w:pPr>
      <w:numPr>
        <w:numId w:val="5"/>
      </w:numPr>
      <w:ind w:hanging="357" w:left="2625"/>
    </w:pPr>
    <w:rPr/>
  </w:style>
  <w:style w:type="paragraph" w:styleId="P19">
    <w:name w:val="No Spacing"/>
    <w:basedOn w:val="P0"/>
    <w:qFormat/>
    <w:pPr>
      <w:tabs>
        <w:tab w:val="left" w:pos="0" w:leader="none"/>
        <w:tab w:val="left" w:pos="1276" w:leader="none"/>
        <w:tab w:val="right" w:pos="2268" w:leader="none"/>
        <w:tab w:val="left" w:pos="2552" w:leader="none"/>
        <w:tab w:val="left" w:pos="3827" w:leader="none"/>
        <w:tab w:val="left" w:pos="5103" w:leader="none"/>
        <w:tab w:val="left" w:pos="6379" w:leader="none"/>
        <w:tab w:val="left" w:pos="7655" w:leader="none"/>
        <w:tab w:val="left" w:pos="8930" w:leader="none"/>
        <w:tab w:val="right" w:pos="10206" w:leader="none"/>
      </w:tabs>
      <w:spacing w:before="480" w:after="0" w:beforeAutospacing="0" w:afterAutospacing="0"/>
      <w:ind w:left="0"/>
    </w:pPr>
    <w:rPr>
      <w:rFonts w:ascii="Tahoma" w:hAnsi="Tahoma"/>
      <w:sz w:val="18"/>
    </w:rPr>
  </w:style>
  <w:style w:type="paragraph" w:styleId="P20">
    <w:name w:val="Brödtext_gnesta"/>
    <w:basedOn w:val="P0"/>
    <w:next w:val="P20"/>
    <w:pPr>
      <w:tabs>
        <w:tab w:val="right" w:pos="5387" w:leader="none"/>
        <w:tab w:val="right" w:pos="7371" w:leader="none"/>
      </w:tabs>
      <w:spacing w:before="120" w:beforeAutospacing="0" w:afterAutospacing="0"/>
      <w:ind w:left="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idhuvud Char"/>
    <w:basedOn w:val="C0"/>
    <w:link w:val="P5"/>
    <w:rPr>
      <w:rFonts w:ascii="Tahoma" w:hAnsi="Tahoma"/>
      <w:sz w:val="28"/>
    </w:rPr>
  </w:style>
  <w:style w:type="character" w:styleId="C4">
    <w:name w:val="Sidfot Char"/>
    <w:basedOn w:val="C0"/>
    <w:link w:val="P6"/>
    <w:rPr/>
  </w:style>
  <w:style w:type="character" w:styleId="C5">
    <w:name w:val="Rubrik 1 Char"/>
    <w:basedOn w:val="C0"/>
    <w:link w:val="P1"/>
    <w:rPr>
      <w:rFonts w:ascii="Tahoma" w:hAnsi="Tahoma"/>
      <w:color w:val="000000"/>
      <w:sz w:val="28"/>
    </w:rPr>
  </w:style>
  <w:style w:type="character" w:styleId="C6">
    <w:name w:val="Rubrik 2 Char"/>
    <w:basedOn w:val="C0"/>
    <w:link w:val="P2"/>
    <w:rPr>
      <w:rFonts w:ascii="Tahoma" w:hAnsi="Tahoma"/>
      <w:b w:val="1"/>
      <w:color w:val="000000"/>
    </w:rPr>
  </w:style>
  <w:style w:type="character" w:styleId="C7">
    <w:name w:val="Rubrik 3 Char"/>
    <w:basedOn w:val="C0"/>
    <w:link w:val="P3"/>
    <w:rPr>
      <w:rFonts w:ascii="Tahoma" w:hAnsi="Tahoma"/>
      <w:color w:val="000000"/>
    </w:rPr>
  </w:style>
  <w:style w:type="character" w:styleId="C8">
    <w:name w:val="Underrubrik Char"/>
    <w:basedOn w:val="C0"/>
    <w:link w:val="P10"/>
    <w:rPr>
      <w:rFonts w:ascii="Tahoma" w:hAnsi="Tahoma"/>
      <w:color w:val="000000"/>
    </w:rPr>
  </w:style>
  <w:style w:type="character" w:styleId="C9">
    <w:name w:val="Ballongtext Char"/>
    <w:basedOn w:val="C0"/>
    <w:link w:val="P17"/>
    <w:semiHidden/>
    <w:rPr>
      <w:rFonts w:ascii="Tahoma" w:hAnsi="Tahoma"/>
      <w:sz w:val="16"/>
    </w:rPr>
  </w:style>
  <w:style w:type="character" w:styleId="C10">
    <w:name w:val="Rubrik 4 Char"/>
    <w:basedOn w:val="C0"/>
    <w:link w:val="P4"/>
    <w:rPr>
      <w:rFonts w:ascii="Tahoma" w:hAnsi="Tahoma"/>
      <w:color w:val="000000"/>
    </w:rPr>
  </w:style>
  <w:style w:type="character" w:styleId="C11">
    <w:name w:val="Betoning fet"/>
    <w:rPr>
      <w:rFonts w:ascii="Garamond" w:hAnsi="Garamond"/>
      <w:b w:val="1"/>
      <w:color w:val="auto"/>
      <w:sz w:val="2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left w:w="108" w:type="dxa"/>
        <w:right w:w="108" w:type="dxa"/>
      </w:tblCellMar>
    </w:tblPr>
    <w:trPr/>
    <w:tcPr/>
  </w:style>
  <w:style w:type="table" w:styleId="T2">
    <w:name w:val="Table Grid"/>
    <w:basedOn w:val="T0"/>
    <w:pPr>
      <w:pBdr>
        <w:top w:val="none" w:sz="0" w:space="0" w:shadow="0" w:frame="0" w:color="000000"/>
        <w:left w:val="none" w:sz="0" w:space="0" w:shadow="0" w:frame="0" w:color="000000"/>
        <w:bottom w:val="none" w:sz="0" w:space="0" w:shadow="0" w:frame="0" w:color="000000"/>
        <w:right w:val="none" w:sz="0" w:space="0" w:shadow="0" w:frame="0" w:color="000000"/>
      </w:pBdr>
      <w:tabs>
        <w:tab w:val="left" w:pos="0" w:leader="none"/>
        <w:tab w:val="left" w:pos="1276" w:leader="none"/>
        <w:tab w:val="right" w:pos="2268" w:leader="none"/>
        <w:tab w:val="left" w:pos="2552" w:leader="none"/>
        <w:tab w:val="left" w:pos="3827" w:leader="none"/>
        <w:tab w:val="left" w:pos="5103" w:leader="none"/>
        <w:tab w:val="left" w:pos="6379" w:leader="none"/>
        <w:tab w:val="left" w:pos="7655" w:leader="none"/>
        <w:tab w:val="left" w:pos="8930" w:leader="none"/>
        <w:tab w:val="right" w:pos="10206" w:leader="none"/>
      </w:tabs>
      <w:spacing w:lineRule="exact" w:line="270" w:before="120" w:after="0" w:beforeAutospacing="0" w:afterAutospacing="0"/>
    </w:pPr>
    <w:rPr>
      <w:rFonts w:ascii="Times New Roman" w:hAnsi="Times New Roman"/>
      <w:color w:val="000000"/>
      <w:sz w:val="24"/>
      <w:lang w:eastAsia="sv-SE"/>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footer1.xml.rels>&#65279;<?xml version="1.0" encoding="utf-8"?><Relationships xmlns="http://schemas.openxmlformats.org/package/2006/relationships"><Relationship Id="Relimage3" Type="http://schemas.openxmlformats.org/officeDocument/2006/relationships/image" Target="/media/image3.png" /></Relationships>
</file>

<file path=word/_rels/footer2.xml.rels>&#65279;<?xml version="1.0" encoding="utf-8"?><Relationships xmlns="http://schemas.openxmlformats.org/package/2006/relationships"><Relationship Id="Relimage4" Type="http://schemas.openxmlformats.org/officeDocument/2006/relationships/image" Target="/media/image4.png" /></Relationships>
</file>

<file path=word/_rels/header1.xml.rels>&#65279;<?xml version="1.0" encoding="utf-8"?><Relationships xmlns="http://schemas.openxmlformats.org/package/2006/relationships"><Relationship Id="Relimage1" Type="http://schemas.openxmlformats.org/officeDocument/2006/relationships/image" Target="/media/image1.jpg" /></Relationships>
</file>

<file path=word/_rels/header2.xml.rels>&#65279;<?xml version="1.0" encoding="utf-8"?><Relationships xmlns="http://schemas.openxmlformats.org/package/2006/relationships"><Relationship Id="Relimage2" Type="http://schemas.openxmlformats.org/officeDocument/2006/relationships/image" Target="/media/image2.jp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Marie Solter</dc:creator>
  <dcterms:created xsi:type="dcterms:W3CDTF">2017-05-17T14:08:26Z</dcterms:created>
  <cp:lastModifiedBy>Marie Solter</cp:lastModifiedBy>
  <dcterms:modified xsi:type="dcterms:W3CDTF">2017-05-17T14:08:26Z</dcterms:modified>
  <cp:revision>2</cp:revision>
</cp:coreProperties>
</file>